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C9032" w14:textId="61EEFEAD" w:rsidR="00F452E6" w:rsidRDefault="00F452E6" w:rsidP="00F452E6">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Pr>
          <w:rFonts w:ascii="Arial" w:hAnsi="Arial" w:cs="Arial"/>
          <w:b/>
          <w:sz w:val="24"/>
          <w:szCs w:val="24"/>
        </w:rPr>
        <w:t>#89</w:t>
      </w:r>
      <w:r w:rsidRPr="000A64D8">
        <w:rPr>
          <w:rFonts w:ascii="Arial" w:hAnsi="Arial" w:cs="Arial"/>
          <w:b/>
          <w:sz w:val="24"/>
          <w:szCs w:val="24"/>
        </w:rPr>
        <w:tab/>
      </w:r>
      <w:r w:rsidR="003F16AC" w:rsidRPr="003F16AC">
        <w:rPr>
          <w:rFonts w:ascii="Arial" w:hAnsi="Arial" w:cs="Arial"/>
          <w:b/>
          <w:sz w:val="24"/>
          <w:szCs w:val="24"/>
        </w:rPr>
        <w:t>R1-1708571</w:t>
      </w:r>
    </w:p>
    <w:p w14:paraId="7D94C5A3" w14:textId="77777777" w:rsidR="00F452E6" w:rsidRDefault="00F452E6" w:rsidP="00F452E6">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4F6EEB3C" w14:textId="77777777" w:rsidR="00F452E6" w:rsidRPr="002B2276" w:rsidRDefault="00F452E6" w:rsidP="00F452E6">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14:paraId="262F338E" w14:textId="77777777" w:rsidR="00152278" w:rsidRPr="000A64D8" w:rsidRDefault="00152278" w:rsidP="00152278">
      <w:pPr>
        <w:pStyle w:val="Footer"/>
        <w:jc w:val="both"/>
        <w:rPr>
          <w:noProof w:val="0"/>
        </w:rPr>
      </w:pPr>
    </w:p>
    <w:p w14:paraId="636CF282" w14:textId="0D2D08BA"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452E6">
        <w:rPr>
          <w:rFonts w:ascii="Arial" w:hAnsi="Arial"/>
          <w:sz w:val="24"/>
        </w:rPr>
        <w:t>7</w:t>
      </w:r>
      <w:r w:rsidR="00AF51D8" w:rsidRPr="00AF51D8">
        <w:rPr>
          <w:rFonts w:ascii="Arial" w:hAnsi="Arial"/>
          <w:sz w:val="24"/>
        </w:rPr>
        <w:t>.1.1.2.1</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35" w:rsidRPr="00973209">
        <w:rPr>
          <w:rFonts w:ascii="Arial" w:hAnsi="Arial"/>
          <w:sz w:val="24"/>
        </w:rPr>
        <w:t>PBCH</w:t>
      </w:r>
      <w:r w:rsidR="00161641" w:rsidRPr="00973209">
        <w:rPr>
          <w:rFonts w:ascii="Arial" w:hAnsi="Arial"/>
          <w:sz w:val="24"/>
        </w:rPr>
        <w:t xml:space="preserve"> </w:t>
      </w:r>
      <w:r w:rsidR="00A71EE8" w:rsidRPr="00973209">
        <w:rPr>
          <w:rFonts w:ascii="Arial" w:hAnsi="Arial"/>
          <w:sz w:val="24"/>
        </w:rPr>
        <w:t>design</w:t>
      </w:r>
      <w:r w:rsidR="00D41335" w:rsidRPr="00973209">
        <w:rPr>
          <w:rFonts w:ascii="Arial" w:hAnsi="Arial"/>
          <w:sz w:val="24"/>
        </w:rPr>
        <w:t xml:space="preserve"> considerations</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5A8801" w14:textId="3C6BB1B4" w:rsidR="00003016" w:rsidRDefault="00E62F5D" w:rsidP="00003016">
      <w:pPr>
        <w:rPr>
          <w:szCs w:val="22"/>
        </w:rPr>
      </w:pPr>
      <w:r w:rsidRPr="004164C7">
        <w:rPr>
          <w:szCs w:val="22"/>
        </w:rPr>
        <w:t>T</w:t>
      </w:r>
      <w:r w:rsidRPr="002838A1">
        <w:rPr>
          <w:szCs w:val="22"/>
        </w:rPr>
        <w:t xml:space="preserve">his contribution provides our </w:t>
      </w:r>
      <w:r w:rsidR="004818EA">
        <w:rPr>
          <w:szCs w:val="22"/>
        </w:rPr>
        <w:t>NR-</w:t>
      </w:r>
      <w:r>
        <w:rPr>
          <w:szCs w:val="22"/>
        </w:rPr>
        <w:t xml:space="preserve">PBCH </w:t>
      </w:r>
      <w:r w:rsidRPr="002838A1">
        <w:rPr>
          <w:szCs w:val="22"/>
        </w:rPr>
        <w:t>design.</w:t>
      </w:r>
      <w:r w:rsidR="004818EA">
        <w:rPr>
          <w:szCs w:val="22"/>
        </w:rPr>
        <w:t xml:space="preserve"> More specifically, we shall first discuss the c</w:t>
      </w:r>
      <w:r w:rsidR="00DE0C33">
        <w:rPr>
          <w:szCs w:val="22"/>
        </w:rPr>
        <w:t xml:space="preserve">ontents of </w:t>
      </w:r>
      <w:r w:rsidR="003226A2">
        <w:rPr>
          <w:szCs w:val="22"/>
        </w:rPr>
        <w:t xml:space="preserve">the minimum system information (MSIB) carried in </w:t>
      </w:r>
      <w:r w:rsidR="00DE0C33">
        <w:rPr>
          <w:szCs w:val="22"/>
        </w:rPr>
        <w:t>NR-PBCH payload</w:t>
      </w:r>
      <w:r w:rsidR="004818EA">
        <w:rPr>
          <w:szCs w:val="22"/>
        </w:rPr>
        <w:t>. Then we</w:t>
      </w:r>
      <w:r w:rsidR="00CE3CA5">
        <w:rPr>
          <w:szCs w:val="22"/>
        </w:rPr>
        <w:t xml:space="preserve"> shall discuss the NR-PBCH design </w:t>
      </w:r>
      <w:r w:rsidR="004818EA">
        <w:rPr>
          <w:szCs w:val="22"/>
        </w:rPr>
        <w:t>aspects.</w:t>
      </w:r>
      <w:r w:rsidR="00DD05EB">
        <w:rPr>
          <w:szCs w:val="22"/>
        </w:rPr>
        <w:t xml:space="preserve"> </w:t>
      </w:r>
    </w:p>
    <w:p w14:paraId="0879584A" w14:textId="2855B9A1" w:rsidR="00E62F5D" w:rsidRDefault="00DE0C33" w:rsidP="00E62F5D">
      <w:pPr>
        <w:pStyle w:val="Heading1"/>
        <w:numPr>
          <w:ilvl w:val="0"/>
          <w:numId w:val="21"/>
        </w:numPr>
        <w:rPr>
          <w:lang w:val="en-US"/>
        </w:rPr>
      </w:pPr>
      <w:bookmarkStart w:id="3" w:name="_Ref481753149"/>
      <w:r>
        <w:rPr>
          <w:lang w:val="en-US"/>
        </w:rPr>
        <w:t>NR-PBCH Payload</w:t>
      </w:r>
      <w:bookmarkEnd w:id="3"/>
    </w:p>
    <w:p w14:paraId="50268E26" w14:textId="2DA7BA13" w:rsidR="00E62F5D" w:rsidRDefault="003C46E4" w:rsidP="00E62F5D">
      <w:pPr>
        <w:jc w:val="both"/>
      </w:pPr>
      <w:r>
        <w:fldChar w:fldCharType="begin"/>
      </w:r>
      <w:r>
        <w:instrText xml:space="preserve"> REF _Ref470461782 \h </w:instrText>
      </w:r>
      <w:r>
        <w:fldChar w:fldCharType="separate"/>
      </w:r>
      <w:r>
        <w:t xml:space="preserve">Table </w:t>
      </w:r>
      <w:r>
        <w:rPr>
          <w:noProof/>
        </w:rPr>
        <w:t>1</w:t>
      </w:r>
      <w:r>
        <w:fldChar w:fldCharType="end"/>
      </w:r>
      <w:r>
        <w:t xml:space="preserve"> summarize</w:t>
      </w:r>
      <w:r w:rsidR="00A52BAA">
        <w:t>s our</w:t>
      </w:r>
      <w:r>
        <w:t xml:space="preserve"> </w:t>
      </w:r>
      <w:r w:rsidR="00A52BAA">
        <w:t xml:space="preserve">views on information elements in </w:t>
      </w:r>
      <w:r w:rsidR="00972B5F">
        <w:t xml:space="preserve">the MSIB carried in </w:t>
      </w:r>
      <w:r w:rsidR="00DE0C33">
        <w:t>NR-PBCH payload</w:t>
      </w:r>
      <w:r w:rsidR="00A52BAA">
        <w:t xml:space="preserve"> as well as the corresponding number of bits.</w:t>
      </w:r>
    </w:p>
    <w:p w14:paraId="444AF2E4" w14:textId="609F525A" w:rsidR="00A52BAA" w:rsidRDefault="00A52BAA" w:rsidP="00A52BAA">
      <w:pPr>
        <w:pStyle w:val="Caption"/>
        <w:jc w:val="center"/>
      </w:pPr>
      <w:bookmarkStart w:id="4" w:name="_Ref470461782"/>
      <w:r>
        <w:t xml:space="preserve">Table </w:t>
      </w:r>
      <w:r w:rsidR="0033534C">
        <w:fldChar w:fldCharType="begin"/>
      </w:r>
      <w:r w:rsidR="0033534C">
        <w:instrText xml:space="preserve"> SEQ Table \* ARABIC </w:instrText>
      </w:r>
      <w:r w:rsidR="0033534C">
        <w:fldChar w:fldCharType="separate"/>
      </w:r>
      <w:r w:rsidR="00682B2A">
        <w:rPr>
          <w:noProof/>
        </w:rPr>
        <w:t>1</w:t>
      </w:r>
      <w:r w:rsidR="0033534C">
        <w:rPr>
          <w:noProof/>
        </w:rPr>
        <w:fldChar w:fldCharType="end"/>
      </w:r>
      <w:bookmarkEnd w:id="4"/>
      <w:r>
        <w:t xml:space="preserve">: </w:t>
      </w:r>
      <w:r w:rsidR="00524307">
        <w:t xml:space="preserve">Information elements in </w:t>
      </w:r>
      <w:r w:rsidR="00972B5F">
        <w:t>MSIB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tblGrid>
      <w:tr w:rsidR="00A52BAA" w:rsidRPr="00834F93" w14:paraId="7DF0F158" w14:textId="77777777" w:rsidTr="0012632F">
        <w:trPr>
          <w:trHeight w:val="200"/>
          <w:jc w:val="center"/>
        </w:trPr>
        <w:tc>
          <w:tcPr>
            <w:tcW w:w="3522" w:type="dxa"/>
            <w:shd w:val="clear" w:color="auto" w:fill="E7E6E6"/>
            <w:vAlign w:val="center"/>
          </w:tcPr>
          <w:p w14:paraId="0A54E022" w14:textId="77777777" w:rsidR="00A52BAA" w:rsidRPr="007D656B" w:rsidRDefault="00A52BAA" w:rsidP="0012632F">
            <w:pPr>
              <w:jc w:val="center"/>
              <w:rPr>
                <w:b/>
              </w:rPr>
            </w:pPr>
            <w:r>
              <w:rPr>
                <w:b/>
              </w:rPr>
              <w:t>Information element</w:t>
            </w:r>
          </w:p>
        </w:tc>
        <w:tc>
          <w:tcPr>
            <w:tcW w:w="1710" w:type="dxa"/>
            <w:shd w:val="clear" w:color="auto" w:fill="E7E6E6"/>
            <w:vAlign w:val="center"/>
          </w:tcPr>
          <w:p w14:paraId="752740E1" w14:textId="77777777" w:rsidR="00A52BAA" w:rsidRPr="007D656B" w:rsidRDefault="00A52BAA" w:rsidP="0012632F">
            <w:pPr>
              <w:jc w:val="center"/>
              <w:rPr>
                <w:b/>
              </w:rPr>
            </w:pPr>
            <w:r>
              <w:rPr>
                <w:b/>
              </w:rPr>
              <w:t># of bits</w:t>
            </w:r>
          </w:p>
        </w:tc>
      </w:tr>
      <w:tr w:rsidR="00A52BAA" w:rsidRPr="00834F93" w14:paraId="0147133B" w14:textId="77777777" w:rsidTr="0012632F">
        <w:trPr>
          <w:trHeight w:val="200"/>
          <w:jc w:val="center"/>
        </w:trPr>
        <w:tc>
          <w:tcPr>
            <w:tcW w:w="3522" w:type="dxa"/>
            <w:shd w:val="clear" w:color="auto" w:fill="auto"/>
            <w:vAlign w:val="center"/>
          </w:tcPr>
          <w:p w14:paraId="1F67B5AE" w14:textId="53DA9113" w:rsidR="00A52BAA" w:rsidRPr="00834F93" w:rsidRDefault="00A52BAA" w:rsidP="0012632F">
            <w:r>
              <w:t>SFN</w:t>
            </w:r>
          </w:p>
        </w:tc>
        <w:tc>
          <w:tcPr>
            <w:tcW w:w="1710" w:type="dxa"/>
            <w:shd w:val="clear" w:color="auto" w:fill="auto"/>
            <w:vAlign w:val="center"/>
          </w:tcPr>
          <w:p w14:paraId="68B19FA9" w14:textId="07A2D8FA" w:rsidR="00A52BAA" w:rsidRPr="00834F93" w:rsidRDefault="00ED3EB8" w:rsidP="0012632F">
            <w:pPr>
              <w:jc w:val="center"/>
            </w:pPr>
            <w:r>
              <w:t>10</w:t>
            </w:r>
          </w:p>
        </w:tc>
      </w:tr>
      <w:tr w:rsidR="00A52BAA" w:rsidRPr="00834F93" w14:paraId="1DE926F8" w14:textId="77777777" w:rsidTr="0012632F">
        <w:trPr>
          <w:trHeight w:val="455"/>
          <w:jc w:val="center"/>
        </w:trPr>
        <w:tc>
          <w:tcPr>
            <w:tcW w:w="3522" w:type="dxa"/>
            <w:shd w:val="clear" w:color="auto" w:fill="auto"/>
            <w:vAlign w:val="center"/>
          </w:tcPr>
          <w:p w14:paraId="1EB96313" w14:textId="77777777" w:rsidR="00A52BAA" w:rsidRPr="00834F93" w:rsidRDefault="00A52BAA" w:rsidP="0012632F">
            <w:r>
              <w:t>CSS PDCCH configuration</w:t>
            </w:r>
          </w:p>
        </w:tc>
        <w:tc>
          <w:tcPr>
            <w:tcW w:w="1710" w:type="dxa"/>
            <w:shd w:val="clear" w:color="auto" w:fill="auto"/>
            <w:vAlign w:val="center"/>
          </w:tcPr>
          <w:p w14:paraId="491AA2ED" w14:textId="77777777" w:rsidR="00A52BAA" w:rsidRPr="00834F93" w:rsidRDefault="00A52BAA" w:rsidP="0012632F">
            <w:pPr>
              <w:jc w:val="center"/>
            </w:pPr>
            <w:r>
              <w:t>8</w:t>
            </w:r>
          </w:p>
        </w:tc>
      </w:tr>
      <w:tr w:rsidR="00A52BAA" w:rsidRPr="00834F93" w14:paraId="065D124F" w14:textId="77777777" w:rsidTr="0012632F">
        <w:trPr>
          <w:trHeight w:val="455"/>
          <w:jc w:val="center"/>
        </w:trPr>
        <w:tc>
          <w:tcPr>
            <w:tcW w:w="3522" w:type="dxa"/>
            <w:shd w:val="clear" w:color="auto" w:fill="auto"/>
            <w:vAlign w:val="center"/>
          </w:tcPr>
          <w:p w14:paraId="1488B131" w14:textId="1EEDB3F4" w:rsidR="00A52BAA" w:rsidRDefault="00EC1D98" w:rsidP="0012632F">
            <w:r>
              <w:t>SSB t</w:t>
            </w:r>
            <w:r w:rsidR="008F0704">
              <w:t>ime</w:t>
            </w:r>
            <w:r w:rsidR="00A52BAA">
              <w:t xml:space="preserve"> index</w:t>
            </w:r>
          </w:p>
        </w:tc>
        <w:tc>
          <w:tcPr>
            <w:tcW w:w="1710" w:type="dxa"/>
            <w:shd w:val="clear" w:color="auto" w:fill="auto"/>
            <w:vAlign w:val="center"/>
          </w:tcPr>
          <w:p w14:paraId="5B026803" w14:textId="77777777" w:rsidR="00A52BAA" w:rsidRDefault="00A52BAA" w:rsidP="0012632F">
            <w:pPr>
              <w:jc w:val="center"/>
            </w:pPr>
            <w:r>
              <w:t>6</w:t>
            </w:r>
          </w:p>
        </w:tc>
      </w:tr>
      <w:tr w:rsidR="00A52BAA" w:rsidRPr="00834F93" w14:paraId="23139D27" w14:textId="77777777" w:rsidTr="0012632F">
        <w:trPr>
          <w:trHeight w:val="455"/>
          <w:jc w:val="center"/>
        </w:trPr>
        <w:tc>
          <w:tcPr>
            <w:tcW w:w="3522" w:type="dxa"/>
            <w:shd w:val="clear" w:color="auto" w:fill="auto"/>
            <w:vAlign w:val="center"/>
          </w:tcPr>
          <w:p w14:paraId="3B9424A9" w14:textId="1551F283" w:rsidR="00A52BAA" w:rsidRDefault="004242F9" w:rsidP="0012632F">
            <w:r>
              <w:t>MSIB presence</w:t>
            </w:r>
            <w:r w:rsidR="00A52BAA">
              <w:t xml:space="preserve"> flag</w:t>
            </w:r>
          </w:p>
        </w:tc>
        <w:tc>
          <w:tcPr>
            <w:tcW w:w="1710" w:type="dxa"/>
            <w:shd w:val="clear" w:color="auto" w:fill="auto"/>
            <w:vAlign w:val="center"/>
          </w:tcPr>
          <w:p w14:paraId="3D4F3791" w14:textId="77777777" w:rsidR="00A52BAA" w:rsidRDefault="00A52BAA" w:rsidP="0012632F">
            <w:pPr>
              <w:jc w:val="center"/>
            </w:pPr>
            <w:r>
              <w:t>1</w:t>
            </w:r>
          </w:p>
        </w:tc>
      </w:tr>
      <w:tr w:rsidR="00A52BAA" w:rsidRPr="00834F93" w14:paraId="1FBB2E16" w14:textId="77777777" w:rsidTr="0012632F">
        <w:trPr>
          <w:trHeight w:val="455"/>
          <w:jc w:val="center"/>
        </w:trPr>
        <w:tc>
          <w:tcPr>
            <w:tcW w:w="3522" w:type="dxa"/>
            <w:shd w:val="clear" w:color="auto" w:fill="auto"/>
            <w:vAlign w:val="center"/>
          </w:tcPr>
          <w:p w14:paraId="4280B516" w14:textId="77777777" w:rsidR="00A52BAA" w:rsidRDefault="00A52BAA" w:rsidP="0012632F">
            <w:r>
              <w:t>Reserved</w:t>
            </w:r>
          </w:p>
        </w:tc>
        <w:tc>
          <w:tcPr>
            <w:tcW w:w="1710" w:type="dxa"/>
            <w:shd w:val="clear" w:color="auto" w:fill="auto"/>
            <w:vAlign w:val="center"/>
          </w:tcPr>
          <w:p w14:paraId="5EAFF79D" w14:textId="246EED6D" w:rsidR="00A52BAA" w:rsidRDefault="00B258CE" w:rsidP="0012632F">
            <w:pPr>
              <w:jc w:val="center"/>
            </w:pPr>
            <w:r>
              <w:t>7</w:t>
            </w:r>
          </w:p>
        </w:tc>
      </w:tr>
      <w:tr w:rsidR="00A52BAA" w:rsidRPr="00834F93" w14:paraId="3DABE83F" w14:textId="77777777" w:rsidTr="0012632F">
        <w:trPr>
          <w:trHeight w:val="455"/>
          <w:jc w:val="center"/>
        </w:trPr>
        <w:tc>
          <w:tcPr>
            <w:tcW w:w="3522" w:type="dxa"/>
            <w:shd w:val="clear" w:color="auto" w:fill="auto"/>
            <w:vAlign w:val="center"/>
          </w:tcPr>
          <w:p w14:paraId="6AE3B29E" w14:textId="77777777" w:rsidR="00A52BAA" w:rsidRDefault="00A52BAA" w:rsidP="0012632F">
            <w:r>
              <w:t>CRC</w:t>
            </w:r>
          </w:p>
        </w:tc>
        <w:tc>
          <w:tcPr>
            <w:tcW w:w="1710" w:type="dxa"/>
            <w:shd w:val="clear" w:color="auto" w:fill="auto"/>
            <w:vAlign w:val="center"/>
          </w:tcPr>
          <w:p w14:paraId="3C48532E" w14:textId="77777777" w:rsidR="00A52BAA" w:rsidRDefault="00A52BAA" w:rsidP="0012632F">
            <w:pPr>
              <w:jc w:val="center"/>
            </w:pPr>
            <w:r>
              <w:t>16</w:t>
            </w:r>
          </w:p>
        </w:tc>
      </w:tr>
      <w:tr w:rsidR="00A52BAA" w:rsidRPr="00834F93" w14:paraId="1BD126A8" w14:textId="77777777" w:rsidTr="0012632F">
        <w:trPr>
          <w:trHeight w:val="455"/>
          <w:jc w:val="center"/>
        </w:trPr>
        <w:tc>
          <w:tcPr>
            <w:tcW w:w="3522" w:type="dxa"/>
            <w:shd w:val="clear" w:color="auto" w:fill="auto"/>
            <w:vAlign w:val="center"/>
          </w:tcPr>
          <w:p w14:paraId="06F99F3E" w14:textId="77777777" w:rsidR="00A52BAA" w:rsidRPr="00D25337" w:rsidRDefault="00A52BAA" w:rsidP="0012632F">
            <w:pPr>
              <w:rPr>
                <w:b/>
              </w:rPr>
            </w:pPr>
            <w:r w:rsidRPr="00D25337">
              <w:rPr>
                <w:b/>
              </w:rPr>
              <w:t>Total</w:t>
            </w:r>
          </w:p>
        </w:tc>
        <w:tc>
          <w:tcPr>
            <w:tcW w:w="1710" w:type="dxa"/>
            <w:shd w:val="clear" w:color="auto" w:fill="auto"/>
            <w:vAlign w:val="center"/>
          </w:tcPr>
          <w:p w14:paraId="315EC5A5" w14:textId="77777777" w:rsidR="00A52BAA" w:rsidRPr="006E59A8" w:rsidRDefault="00A52BAA" w:rsidP="0012632F">
            <w:pPr>
              <w:jc w:val="center"/>
              <w:rPr>
                <w:b/>
              </w:rPr>
            </w:pPr>
            <w:r w:rsidRPr="006E59A8">
              <w:rPr>
                <w:b/>
              </w:rPr>
              <w:t>48</w:t>
            </w:r>
          </w:p>
        </w:tc>
      </w:tr>
    </w:tbl>
    <w:p w14:paraId="4009FAD6" w14:textId="77777777" w:rsidR="00021757" w:rsidRDefault="00021757" w:rsidP="00E62F5D">
      <w:pPr>
        <w:jc w:val="both"/>
      </w:pPr>
    </w:p>
    <w:p w14:paraId="3E0B1F01" w14:textId="77A557F2" w:rsidR="00A52BAA" w:rsidRDefault="00021757" w:rsidP="00E62F5D">
      <w:pPr>
        <w:jc w:val="both"/>
      </w:pPr>
      <w:r>
        <w:t>Below we discuss the functionalities of each information elements:</w:t>
      </w:r>
    </w:p>
    <w:p w14:paraId="6C1D50E4" w14:textId="595BF2A1" w:rsidR="00021757" w:rsidRDefault="00021757" w:rsidP="00021757">
      <w:pPr>
        <w:pStyle w:val="ListParagraph"/>
        <w:numPr>
          <w:ilvl w:val="0"/>
          <w:numId w:val="34"/>
        </w:numPr>
        <w:jc w:val="both"/>
        <w:rPr>
          <w:rFonts w:ascii="Times New Roman" w:hAnsi="Times New Roman"/>
          <w:sz w:val="20"/>
        </w:rPr>
      </w:pPr>
      <w:r>
        <w:rPr>
          <w:rFonts w:ascii="Times New Roman" w:hAnsi="Times New Roman"/>
          <w:sz w:val="20"/>
        </w:rPr>
        <w:t>Common search space (CSS) P</w:t>
      </w:r>
      <w:r w:rsidRPr="00021757">
        <w:rPr>
          <w:rFonts w:ascii="Times New Roman" w:hAnsi="Times New Roman"/>
          <w:sz w:val="20"/>
        </w:rPr>
        <w:t>D</w:t>
      </w:r>
      <w:r>
        <w:rPr>
          <w:rFonts w:ascii="Times New Roman" w:hAnsi="Times New Roman"/>
          <w:sz w:val="20"/>
        </w:rPr>
        <w:t xml:space="preserve">CCH configuration is to signal CSS PDCCH </w:t>
      </w:r>
      <w:r w:rsidR="0062593C">
        <w:rPr>
          <w:rFonts w:ascii="Times New Roman" w:hAnsi="Times New Roman"/>
          <w:sz w:val="20"/>
        </w:rPr>
        <w:t xml:space="preserve">allocation e.g., PDCCH/PDSCH numerology and location for delivering RMSI. </w:t>
      </w:r>
      <w:r w:rsidR="0057386C">
        <w:rPr>
          <w:rFonts w:ascii="Times New Roman" w:hAnsi="Times New Roman"/>
          <w:sz w:val="20"/>
        </w:rPr>
        <w:t xml:space="preserve">The CSS PDCCH configuration design is explicitly discussed in </w:t>
      </w:r>
      <w:r w:rsidR="0057386C">
        <w:rPr>
          <w:rFonts w:ascii="Times New Roman" w:hAnsi="Times New Roman"/>
          <w:sz w:val="20"/>
        </w:rPr>
        <w:fldChar w:fldCharType="begin"/>
      </w:r>
      <w:r w:rsidR="0057386C">
        <w:rPr>
          <w:rFonts w:ascii="Times New Roman" w:hAnsi="Times New Roman"/>
          <w:sz w:val="20"/>
        </w:rPr>
        <w:instrText xml:space="preserve"> REF _Ref471479747 \r \h </w:instrText>
      </w:r>
      <w:r w:rsidR="0057386C">
        <w:rPr>
          <w:rFonts w:ascii="Times New Roman" w:hAnsi="Times New Roman"/>
          <w:sz w:val="20"/>
        </w:rPr>
      </w:r>
      <w:r w:rsidR="0057386C">
        <w:rPr>
          <w:rFonts w:ascii="Times New Roman" w:hAnsi="Times New Roman"/>
          <w:sz w:val="20"/>
        </w:rPr>
        <w:fldChar w:fldCharType="separate"/>
      </w:r>
      <w:r w:rsidR="0057386C">
        <w:rPr>
          <w:rFonts w:ascii="Times New Roman" w:hAnsi="Times New Roman"/>
          <w:sz w:val="20"/>
        </w:rPr>
        <w:t>[1]</w:t>
      </w:r>
      <w:r w:rsidR="0057386C">
        <w:rPr>
          <w:rFonts w:ascii="Times New Roman" w:hAnsi="Times New Roman"/>
          <w:sz w:val="20"/>
        </w:rPr>
        <w:fldChar w:fldCharType="end"/>
      </w:r>
      <w:r w:rsidR="0057386C">
        <w:rPr>
          <w:rFonts w:ascii="Times New Roman" w:hAnsi="Times New Roman"/>
          <w:sz w:val="20"/>
        </w:rPr>
        <w:t>.</w:t>
      </w:r>
      <w:r w:rsidR="0062593C">
        <w:rPr>
          <w:rFonts w:ascii="Times New Roman" w:hAnsi="Times New Roman"/>
          <w:sz w:val="20"/>
        </w:rPr>
        <w:t xml:space="preserve"> </w:t>
      </w:r>
      <w:r>
        <w:rPr>
          <w:rFonts w:ascii="Times New Roman" w:hAnsi="Times New Roman"/>
          <w:sz w:val="20"/>
        </w:rPr>
        <w:t xml:space="preserve"> </w:t>
      </w:r>
    </w:p>
    <w:p w14:paraId="2C530102" w14:textId="1788E260" w:rsidR="00021757" w:rsidRDefault="00B017F3" w:rsidP="00021757">
      <w:pPr>
        <w:pStyle w:val="ListParagraph"/>
        <w:numPr>
          <w:ilvl w:val="0"/>
          <w:numId w:val="34"/>
        </w:numPr>
        <w:jc w:val="both"/>
        <w:rPr>
          <w:rFonts w:ascii="Times New Roman" w:hAnsi="Times New Roman"/>
          <w:sz w:val="20"/>
        </w:rPr>
      </w:pPr>
      <w:r>
        <w:rPr>
          <w:rFonts w:ascii="Times New Roman" w:hAnsi="Times New Roman"/>
          <w:sz w:val="20"/>
        </w:rPr>
        <w:t xml:space="preserve">SFN and </w:t>
      </w:r>
      <w:r w:rsidR="00F421C8">
        <w:rPr>
          <w:rFonts w:ascii="Times New Roman" w:hAnsi="Times New Roman"/>
          <w:sz w:val="20"/>
        </w:rPr>
        <w:t>time</w:t>
      </w:r>
      <w:r w:rsidR="00BD51B4">
        <w:rPr>
          <w:rFonts w:ascii="Times New Roman" w:hAnsi="Times New Roman"/>
          <w:sz w:val="20"/>
        </w:rPr>
        <w:t xml:space="preserve"> index</w:t>
      </w:r>
      <w:r>
        <w:rPr>
          <w:rFonts w:ascii="Times New Roman" w:hAnsi="Times New Roman"/>
          <w:sz w:val="20"/>
        </w:rPr>
        <w:t xml:space="preserve"> are</w:t>
      </w:r>
      <w:r w:rsidR="004300CD">
        <w:rPr>
          <w:rFonts w:ascii="Times New Roman" w:hAnsi="Times New Roman"/>
          <w:sz w:val="20"/>
        </w:rPr>
        <w:t xml:space="preserve"> explicitly signal</w:t>
      </w:r>
      <w:r>
        <w:rPr>
          <w:rFonts w:ascii="Times New Roman" w:hAnsi="Times New Roman"/>
          <w:sz w:val="20"/>
        </w:rPr>
        <w:t>ed</w:t>
      </w:r>
      <w:r w:rsidR="004300CD">
        <w:rPr>
          <w:rFonts w:ascii="Times New Roman" w:hAnsi="Times New Roman"/>
          <w:sz w:val="20"/>
        </w:rPr>
        <w:t xml:space="preserve"> in </w:t>
      </w:r>
      <w:r w:rsidR="00BD51B4">
        <w:rPr>
          <w:rFonts w:ascii="Times New Roman" w:hAnsi="Times New Roman"/>
          <w:sz w:val="20"/>
        </w:rPr>
        <w:t>PBCH payload</w:t>
      </w:r>
      <w:r w:rsidR="004300CD">
        <w:rPr>
          <w:rFonts w:ascii="Times New Roman" w:hAnsi="Times New Roman"/>
          <w:sz w:val="20"/>
        </w:rPr>
        <w:t>.</w:t>
      </w:r>
      <w:r w:rsidR="000A1012">
        <w:rPr>
          <w:rFonts w:ascii="Times New Roman" w:hAnsi="Times New Roman"/>
          <w:sz w:val="20"/>
        </w:rPr>
        <w:t xml:space="preserve"> The </w:t>
      </w:r>
      <w:r>
        <w:rPr>
          <w:rFonts w:ascii="Times New Roman" w:hAnsi="Times New Roman"/>
          <w:sz w:val="20"/>
        </w:rPr>
        <w:t>further discussion on time index is</w:t>
      </w:r>
      <w:r w:rsidR="000A1012">
        <w:rPr>
          <w:rFonts w:ascii="Times New Roman" w:hAnsi="Times New Roman"/>
          <w:sz w:val="20"/>
        </w:rPr>
        <w:t xml:space="preserve"> in </w:t>
      </w:r>
      <w:r w:rsidR="000A1012">
        <w:rPr>
          <w:rFonts w:ascii="Times New Roman" w:hAnsi="Times New Roman"/>
          <w:sz w:val="20"/>
        </w:rPr>
        <w:fldChar w:fldCharType="begin"/>
      </w:r>
      <w:r w:rsidR="000A1012">
        <w:rPr>
          <w:rFonts w:ascii="Times New Roman" w:hAnsi="Times New Roman"/>
          <w:sz w:val="20"/>
        </w:rPr>
        <w:instrText xml:space="preserve"> REF _Ref478119313 \r \h </w:instrText>
      </w:r>
      <w:r w:rsidR="000A1012">
        <w:rPr>
          <w:rFonts w:ascii="Times New Roman" w:hAnsi="Times New Roman"/>
          <w:sz w:val="20"/>
        </w:rPr>
      </w:r>
      <w:r w:rsidR="000A1012">
        <w:rPr>
          <w:rFonts w:ascii="Times New Roman" w:hAnsi="Times New Roman"/>
          <w:sz w:val="20"/>
        </w:rPr>
        <w:fldChar w:fldCharType="separate"/>
      </w:r>
      <w:r w:rsidR="000A1012">
        <w:rPr>
          <w:rFonts w:ascii="Times New Roman" w:hAnsi="Times New Roman"/>
          <w:sz w:val="20"/>
        </w:rPr>
        <w:t>[2]</w:t>
      </w:r>
      <w:r w:rsidR="000A1012">
        <w:rPr>
          <w:rFonts w:ascii="Times New Roman" w:hAnsi="Times New Roman"/>
          <w:sz w:val="20"/>
        </w:rPr>
        <w:fldChar w:fldCharType="end"/>
      </w:r>
      <w:r w:rsidR="000A1012">
        <w:rPr>
          <w:rFonts w:ascii="Times New Roman" w:hAnsi="Times New Roman"/>
          <w:sz w:val="20"/>
        </w:rPr>
        <w:t>.</w:t>
      </w:r>
    </w:p>
    <w:p w14:paraId="363DE7B7" w14:textId="4BDD096F" w:rsidR="000A1012" w:rsidRPr="00F44AF5" w:rsidRDefault="00F421C8" w:rsidP="00021757">
      <w:pPr>
        <w:pStyle w:val="ListParagraph"/>
        <w:numPr>
          <w:ilvl w:val="0"/>
          <w:numId w:val="34"/>
        </w:numPr>
        <w:jc w:val="both"/>
        <w:rPr>
          <w:rFonts w:ascii="Times New Roman" w:hAnsi="Times New Roman"/>
          <w:sz w:val="20"/>
        </w:rPr>
      </w:pPr>
      <w:r>
        <w:rPr>
          <w:rFonts w:ascii="Times New Roman" w:hAnsi="Times New Roman"/>
          <w:sz w:val="20"/>
        </w:rPr>
        <w:t>MSIB presence</w:t>
      </w:r>
      <w:r w:rsidR="00021757">
        <w:rPr>
          <w:rFonts w:ascii="Times New Roman" w:hAnsi="Times New Roman"/>
          <w:sz w:val="20"/>
        </w:rPr>
        <w:t xml:space="preserve"> flag</w:t>
      </w:r>
      <w:r w:rsidR="000A1012">
        <w:rPr>
          <w:rFonts w:ascii="Times New Roman" w:hAnsi="Times New Roman"/>
          <w:sz w:val="20"/>
        </w:rPr>
        <w:t xml:space="preserve"> is</w:t>
      </w:r>
      <w:r w:rsidR="000A1012" w:rsidRPr="000A1012">
        <w:rPr>
          <w:rFonts w:ascii="Times New Roman" w:hAnsi="Times New Roman"/>
          <w:sz w:val="20"/>
          <w:lang w:val="en-GB"/>
        </w:rPr>
        <w:t xml:space="preserve"> to indicate whether </w:t>
      </w:r>
      <w:r w:rsidR="000A1012">
        <w:rPr>
          <w:rFonts w:ascii="Times New Roman" w:hAnsi="Times New Roman"/>
          <w:sz w:val="20"/>
          <w:lang w:val="en-GB"/>
        </w:rPr>
        <w:t>UE should</w:t>
      </w:r>
      <w:r w:rsidR="000A1012" w:rsidRPr="000A1012">
        <w:rPr>
          <w:rFonts w:ascii="Times New Roman" w:hAnsi="Times New Roman"/>
          <w:sz w:val="20"/>
          <w:lang w:val="en-GB"/>
        </w:rPr>
        <w:t xml:space="preserve"> read the minimum system information or not. This bit provides multiple benefits. From the NW perspective, it is similar concept as access/cell barring, where NW can prevent the new UEs from accessing the system for various reasons such as cell is overloaded. From UE perspective, this improves the UE power consumption as UE is not required to read the minimum system information to figure out the baring information. Note that it is especially helpful for above 6GHz deployment with large number of beam sweeps. Since minimum system information needs to be broadcasted by sweeping many beams, informing UE in </w:t>
      </w:r>
      <w:r w:rsidR="00365EE9">
        <w:rPr>
          <w:rFonts w:ascii="Times New Roman" w:hAnsi="Times New Roman"/>
          <w:sz w:val="20"/>
          <w:lang w:val="en-GB"/>
        </w:rPr>
        <w:t>MSIB</w:t>
      </w:r>
      <w:r w:rsidR="000A1012" w:rsidRPr="000A1012">
        <w:rPr>
          <w:rFonts w:ascii="Times New Roman" w:hAnsi="Times New Roman"/>
          <w:sz w:val="20"/>
          <w:lang w:val="en-GB"/>
        </w:rPr>
        <w:t xml:space="preserve"> that decoding minimum system information is not needed can offer power consumption benefit</w:t>
      </w:r>
    </w:p>
    <w:p w14:paraId="1DB7AC3E" w14:textId="6A74E29B" w:rsidR="00F44AF5" w:rsidRPr="00F44AF5" w:rsidRDefault="00F44AF5" w:rsidP="00F44AF5">
      <w:pPr>
        <w:jc w:val="both"/>
      </w:pPr>
      <w:r w:rsidRPr="007875D5">
        <w:rPr>
          <w:b/>
          <w:u w:val="single"/>
          <w:lang w:val="en-US"/>
        </w:rPr>
        <w:lastRenderedPageBreak/>
        <w:t>Proposal 1:</w:t>
      </w:r>
      <w:r>
        <w:rPr>
          <w:b/>
          <w:lang w:val="en-US"/>
        </w:rPr>
        <w:t xml:space="preserve"> </w:t>
      </w:r>
      <w:r w:rsidR="006F49CE">
        <w:rPr>
          <w:lang w:val="en-US" w:eastAsia="ja-JP"/>
        </w:rPr>
        <w:t>RAN1 adopts the information elements</w:t>
      </w:r>
      <w:r w:rsidR="00324000">
        <w:rPr>
          <w:lang w:val="en-US" w:eastAsia="ja-JP"/>
        </w:rPr>
        <w:t xml:space="preserve"> </w:t>
      </w:r>
      <w:r w:rsidR="0010303F">
        <w:rPr>
          <w:lang w:val="en-US" w:eastAsia="ja-JP"/>
        </w:rPr>
        <w:t xml:space="preserve">provided in </w:t>
      </w:r>
      <w:r w:rsidR="0010303F">
        <w:rPr>
          <w:lang w:val="en-US" w:eastAsia="ja-JP"/>
        </w:rPr>
        <w:fldChar w:fldCharType="begin"/>
      </w:r>
      <w:r w:rsidR="0010303F">
        <w:rPr>
          <w:lang w:val="en-US" w:eastAsia="ja-JP"/>
        </w:rPr>
        <w:instrText xml:space="preserve"> REF _Ref470461782 \h </w:instrText>
      </w:r>
      <w:r w:rsidR="0010303F">
        <w:rPr>
          <w:lang w:val="en-US" w:eastAsia="ja-JP"/>
        </w:rPr>
      </w:r>
      <w:r w:rsidR="0010303F">
        <w:rPr>
          <w:lang w:val="en-US" w:eastAsia="ja-JP"/>
        </w:rPr>
        <w:fldChar w:fldCharType="separate"/>
      </w:r>
      <w:r w:rsidR="0010303F">
        <w:t xml:space="preserve">Table </w:t>
      </w:r>
      <w:r w:rsidR="0010303F">
        <w:rPr>
          <w:noProof/>
        </w:rPr>
        <w:t>1</w:t>
      </w:r>
      <w:r w:rsidR="0010303F">
        <w:rPr>
          <w:lang w:val="en-US" w:eastAsia="ja-JP"/>
        </w:rPr>
        <w:fldChar w:fldCharType="end"/>
      </w:r>
      <w:r w:rsidR="0010303F">
        <w:rPr>
          <w:lang w:val="en-US" w:eastAsia="ja-JP"/>
        </w:rPr>
        <w:t xml:space="preserve"> </w:t>
      </w:r>
      <w:r w:rsidR="00324000">
        <w:rPr>
          <w:lang w:val="en-US" w:eastAsia="ja-JP"/>
        </w:rPr>
        <w:t xml:space="preserve">for </w:t>
      </w:r>
      <w:r w:rsidR="003C5BB0">
        <w:rPr>
          <w:lang w:val="en-US" w:eastAsia="ja-JP"/>
        </w:rPr>
        <w:t xml:space="preserve">MSIB </w:t>
      </w:r>
      <w:r w:rsidR="00DC3E63">
        <w:rPr>
          <w:lang w:val="en-US" w:eastAsia="ja-JP"/>
        </w:rPr>
        <w:t xml:space="preserve">which is </w:t>
      </w:r>
      <w:r w:rsidR="003C5BB0">
        <w:rPr>
          <w:lang w:val="en-US" w:eastAsia="ja-JP"/>
        </w:rPr>
        <w:t xml:space="preserve">carried by </w:t>
      </w:r>
      <w:r w:rsidR="00324000">
        <w:rPr>
          <w:lang w:val="en-US" w:eastAsia="ja-JP"/>
        </w:rPr>
        <w:t>NR</w:t>
      </w:r>
      <w:r w:rsidR="009576F8">
        <w:rPr>
          <w:lang w:val="en-US" w:eastAsia="ja-JP"/>
        </w:rPr>
        <w:t>-PBCH payload</w:t>
      </w:r>
      <w:r w:rsidR="00324000">
        <w:rPr>
          <w:lang w:val="en-US" w:eastAsia="ja-JP"/>
        </w:rPr>
        <w:t>.</w:t>
      </w:r>
      <w:r w:rsidR="00364D63">
        <w:rPr>
          <w:lang w:val="en-US" w:eastAsia="ja-JP"/>
        </w:rPr>
        <w:t xml:space="preserve"> </w:t>
      </w:r>
      <w:r w:rsidR="00777CA8">
        <w:rPr>
          <w:lang w:val="en-US" w:eastAsia="ja-JP"/>
        </w:rPr>
        <w:t>Furthermore</w:t>
      </w:r>
      <w:r w:rsidR="00364D63">
        <w:rPr>
          <w:lang w:val="en-US" w:eastAsia="ja-JP"/>
        </w:rPr>
        <w:t xml:space="preserve">, </w:t>
      </w:r>
      <w:r w:rsidR="00365EE9">
        <w:rPr>
          <w:lang w:val="en-US" w:eastAsia="ja-JP"/>
        </w:rPr>
        <w:t>MSIB</w:t>
      </w:r>
      <w:r w:rsidR="00D81C73">
        <w:rPr>
          <w:lang w:val="en-US" w:eastAsia="ja-JP"/>
        </w:rPr>
        <w:t xml:space="preserve"> size is </w:t>
      </w:r>
      <w:r w:rsidR="00364D63">
        <w:rPr>
          <w:lang w:val="en-US" w:eastAsia="ja-JP"/>
        </w:rPr>
        <w:t>48 bits</w:t>
      </w:r>
      <w:r w:rsidR="00D81C73">
        <w:rPr>
          <w:lang w:val="en-US" w:eastAsia="ja-JP"/>
        </w:rPr>
        <w:t xml:space="preserve"> (including 16 </w:t>
      </w:r>
      <w:r w:rsidR="00C15EA3">
        <w:rPr>
          <w:lang w:val="en-US" w:eastAsia="ja-JP"/>
        </w:rPr>
        <w:t xml:space="preserve">CRC </w:t>
      </w:r>
      <w:r w:rsidR="00D81C73">
        <w:rPr>
          <w:lang w:val="en-US" w:eastAsia="ja-JP"/>
        </w:rPr>
        <w:t>bits</w:t>
      </w:r>
      <w:r w:rsidR="00C15EA3">
        <w:rPr>
          <w:lang w:val="en-US" w:eastAsia="ja-JP"/>
        </w:rPr>
        <w:t xml:space="preserve"> and 9 reserved bits</w:t>
      </w:r>
      <w:r w:rsidR="00D81C73">
        <w:rPr>
          <w:lang w:val="en-US" w:eastAsia="ja-JP"/>
        </w:rPr>
        <w:t>)</w:t>
      </w:r>
      <w:r w:rsidR="00364D63">
        <w:rPr>
          <w:lang w:val="en-US" w:eastAsia="ja-JP"/>
        </w:rPr>
        <w:t>.</w:t>
      </w:r>
    </w:p>
    <w:p w14:paraId="5B71BA0B" w14:textId="7D81D711" w:rsidR="008549E5" w:rsidRDefault="002303AE" w:rsidP="00682B2A">
      <w:pPr>
        <w:pStyle w:val="Heading1"/>
        <w:numPr>
          <w:ilvl w:val="0"/>
          <w:numId w:val="21"/>
        </w:numPr>
        <w:overflowPunct w:val="0"/>
        <w:autoSpaceDE w:val="0"/>
        <w:autoSpaceDN w:val="0"/>
        <w:adjustRightInd w:val="0"/>
        <w:textAlignment w:val="baseline"/>
        <w:rPr>
          <w:rFonts w:eastAsia="SimSun"/>
          <w:sz w:val="36"/>
          <w:lang w:eastAsia="ja-JP"/>
        </w:rPr>
      </w:pPr>
      <w:bookmarkStart w:id="5" w:name="_Ref462751328"/>
      <w:r>
        <w:rPr>
          <w:rFonts w:eastAsia="SimSun"/>
          <w:sz w:val="36"/>
          <w:lang w:eastAsia="ja-JP"/>
        </w:rPr>
        <w:t>NR</w:t>
      </w:r>
      <w:bookmarkEnd w:id="5"/>
      <w:r w:rsidR="00CD23EA">
        <w:rPr>
          <w:rFonts w:eastAsia="SimSun"/>
          <w:sz w:val="36"/>
          <w:lang w:eastAsia="ja-JP"/>
        </w:rPr>
        <w:t>-</w:t>
      </w:r>
      <w:r w:rsidR="004349FF">
        <w:rPr>
          <w:rFonts w:eastAsia="SimSun"/>
          <w:sz w:val="36"/>
          <w:lang w:eastAsia="ja-JP"/>
        </w:rPr>
        <w:t>PBCH Design Consideration</w:t>
      </w:r>
      <w:r w:rsidR="003F60DE">
        <w:rPr>
          <w:rFonts w:eastAsia="SimSun"/>
          <w:sz w:val="36"/>
          <w:lang w:eastAsia="ja-JP"/>
        </w:rPr>
        <w:t>s</w:t>
      </w:r>
    </w:p>
    <w:p w14:paraId="4436C0BE" w14:textId="2482E571" w:rsidR="00682B2A" w:rsidRDefault="00E326EB" w:rsidP="00682B2A">
      <w:pPr>
        <w:rPr>
          <w:lang w:eastAsia="ja-JP"/>
        </w:rPr>
      </w:pPr>
      <w:r>
        <w:rPr>
          <w:lang w:eastAsia="ja-JP"/>
        </w:rPr>
        <w:t>RAN1 had</w:t>
      </w:r>
      <w:r w:rsidR="00682B2A">
        <w:rPr>
          <w:lang w:eastAsia="ja-JP"/>
        </w:rPr>
        <w:t xml:space="preserve"> made the following agreements for NR-PBCH:</w:t>
      </w:r>
    </w:p>
    <w:p w14:paraId="082CF4FB" w14:textId="781DFE8A" w:rsidR="00682B2A" w:rsidRDefault="00682B2A" w:rsidP="0058126D">
      <w:pPr>
        <w:pStyle w:val="Caption"/>
        <w:jc w:val="center"/>
      </w:pPr>
      <w:r>
        <w:t xml:space="preserve">Table </w:t>
      </w:r>
      <w:r w:rsidR="0033534C">
        <w:fldChar w:fldCharType="begin"/>
      </w:r>
      <w:r w:rsidR="0033534C">
        <w:instrText xml:space="preserve"> SEQ Table \* ARABIC </w:instrText>
      </w:r>
      <w:r w:rsidR="0033534C">
        <w:fldChar w:fldCharType="separate"/>
      </w:r>
      <w:r>
        <w:rPr>
          <w:noProof/>
        </w:rPr>
        <w:t>2</w:t>
      </w:r>
      <w:r w:rsidR="0033534C">
        <w:rPr>
          <w:noProof/>
        </w:rPr>
        <w:fldChar w:fldCharType="end"/>
      </w:r>
      <w:r>
        <w:t>: NR-PBCH RAN1 agreements</w:t>
      </w:r>
    </w:p>
    <w:tbl>
      <w:tblPr>
        <w:tblStyle w:val="TableGrid"/>
        <w:tblW w:w="0" w:type="auto"/>
        <w:tblInd w:w="535" w:type="dxa"/>
        <w:tblLook w:val="04A0" w:firstRow="1" w:lastRow="0" w:firstColumn="1" w:lastColumn="0" w:noHBand="0" w:noVBand="1"/>
      </w:tblPr>
      <w:tblGrid>
        <w:gridCol w:w="3150"/>
        <w:gridCol w:w="5580"/>
      </w:tblGrid>
      <w:tr w:rsidR="00682B2A" w:rsidRPr="004C6CE3" w14:paraId="613DD52E" w14:textId="77777777" w:rsidTr="00120092">
        <w:tc>
          <w:tcPr>
            <w:tcW w:w="3150" w:type="dxa"/>
          </w:tcPr>
          <w:p w14:paraId="0D1DB49D" w14:textId="5F670EFE" w:rsidR="00682B2A" w:rsidRPr="004C6CE3" w:rsidRDefault="0058126D" w:rsidP="0058126D">
            <w:pPr>
              <w:jc w:val="center"/>
              <w:rPr>
                <w:rFonts w:ascii="Times New Roman" w:hAnsi="Times New Roman"/>
                <w:b/>
                <w:lang w:val="en-US"/>
              </w:rPr>
            </w:pPr>
            <w:r w:rsidRPr="004C6CE3">
              <w:rPr>
                <w:rFonts w:ascii="Times New Roman" w:hAnsi="Times New Roman"/>
                <w:b/>
                <w:lang w:val="en-US"/>
              </w:rPr>
              <w:t>Design parameters</w:t>
            </w:r>
          </w:p>
        </w:tc>
        <w:tc>
          <w:tcPr>
            <w:tcW w:w="5580" w:type="dxa"/>
          </w:tcPr>
          <w:p w14:paraId="47A6B36A" w14:textId="60A42705" w:rsidR="00682B2A" w:rsidRPr="004C6CE3" w:rsidRDefault="0058126D" w:rsidP="0058126D">
            <w:pPr>
              <w:jc w:val="center"/>
              <w:rPr>
                <w:rFonts w:ascii="Times New Roman" w:hAnsi="Times New Roman"/>
                <w:b/>
                <w:lang w:val="en-US"/>
              </w:rPr>
            </w:pPr>
            <w:r w:rsidRPr="004C6CE3">
              <w:rPr>
                <w:rFonts w:ascii="Times New Roman" w:hAnsi="Times New Roman"/>
                <w:b/>
                <w:lang w:val="en-US"/>
              </w:rPr>
              <w:t>Agreements</w:t>
            </w:r>
          </w:p>
        </w:tc>
      </w:tr>
      <w:tr w:rsidR="00682B2A" w:rsidRPr="004C6CE3" w14:paraId="3C4D2499" w14:textId="77777777" w:rsidTr="00120092">
        <w:tc>
          <w:tcPr>
            <w:tcW w:w="3150" w:type="dxa"/>
          </w:tcPr>
          <w:p w14:paraId="1C28203A" w14:textId="5ABCCB1A" w:rsidR="00682B2A" w:rsidRPr="004C6CE3" w:rsidRDefault="00120092" w:rsidP="00682B2A">
            <w:pPr>
              <w:rPr>
                <w:rFonts w:ascii="Times New Roman" w:hAnsi="Times New Roman"/>
                <w:lang w:val="en-US"/>
              </w:rPr>
            </w:pPr>
            <w:r w:rsidRPr="004C6CE3">
              <w:rPr>
                <w:rFonts w:ascii="Times New Roman" w:hAnsi="Times New Roman"/>
                <w:lang w:val="en-US"/>
              </w:rPr>
              <w:t># of OFDM symbols</w:t>
            </w:r>
          </w:p>
        </w:tc>
        <w:tc>
          <w:tcPr>
            <w:tcW w:w="5580" w:type="dxa"/>
          </w:tcPr>
          <w:p w14:paraId="4A6914BB" w14:textId="5D6B016A" w:rsidR="00682B2A" w:rsidRPr="004C6CE3" w:rsidRDefault="00120092" w:rsidP="00682B2A">
            <w:pPr>
              <w:rPr>
                <w:rFonts w:ascii="Times New Roman" w:hAnsi="Times New Roman"/>
                <w:lang w:val="en-US"/>
              </w:rPr>
            </w:pPr>
            <w:r w:rsidRPr="004C6CE3">
              <w:rPr>
                <w:rFonts w:ascii="Times New Roman" w:hAnsi="Times New Roman"/>
                <w:lang w:val="en-US"/>
              </w:rPr>
              <w:t>2</w:t>
            </w:r>
          </w:p>
        </w:tc>
      </w:tr>
      <w:tr w:rsidR="00682B2A" w:rsidRPr="004C6CE3" w14:paraId="301B10B3" w14:textId="77777777" w:rsidTr="00120092">
        <w:tc>
          <w:tcPr>
            <w:tcW w:w="3150" w:type="dxa"/>
          </w:tcPr>
          <w:p w14:paraId="7681D32D" w14:textId="3CF08387" w:rsidR="00682B2A" w:rsidRPr="004C6CE3" w:rsidRDefault="00120092" w:rsidP="00682B2A">
            <w:pPr>
              <w:rPr>
                <w:rFonts w:ascii="Times New Roman" w:hAnsi="Times New Roman"/>
                <w:lang w:val="en-US"/>
              </w:rPr>
            </w:pPr>
            <w:r w:rsidRPr="004C6CE3">
              <w:rPr>
                <w:rFonts w:ascii="Times New Roman" w:hAnsi="Times New Roman"/>
                <w:lang w:val="en-US"/>
              </w:rPr>
              <w:t># of REs per OFDM symbols</w:t>
            </w:r>
          </w:p>
        </w:tc>
        <w:tc>
          <w:tcPr>
            <w:tcW w:w="5580" w:type="dxa"/>
          </w:tcPr>
          <w:p w14:paraId="6D8F5E21" w14:textId="66977831" w:rsidR="00682B2A" w:rsidRPr="004C6CE3" w:rsidRDefault="00120092" w:rsidP="00682B2A">
            <w:pPr>
              <w:rPr>
                <w:rFonts w:ascii="Times New Roman" w:hAnsi="Times New Roman"/>
                <w:lang w:val="en-US"/>
              </w:rPr>
            </w:pPr>
            <w:r w:rsidRPr="004C6CE3">
              <w:rPr>
                <w:rFonts w:ascii="Times New Roman" w:hAnsi="Times New Roman"/>
                <w:lang w:val="en-US"/>
              </w:rPr>
              <w:t>288</w:t>
            </w:r>
          </w:p>
        </w:tc>
      </w:tr>
      <w:tr w:rsidR="00120092" w:rsidRPr="004C6CE3" w14:paraId="0E66D7AB" w14:textId="77777777" w:rsidTr="00120092">
        <w:tc>
          <w:tcPr>
            <w:tcW w:w="3150" w:type="dxa"/>
          </w:tcPr>
          <w:p w14:paraId="598C6C1D" w14:textId="59CB4D0F" w:rsidR="00120092" w:rsidRPr="004C6CE3" w:rsidRDefault="00120092" w:rsidP="00682B2A">
            <w:pPr>
              <w:rPr>
                <w:rFonts w:ascii="Times New Roman" w:hAnsi="Times New Roman"/>
                <w:lang w:val="en-US"/>
              </w:rPr>
            </w:pPr>
            <w:r w:rsidRPr="004C6CE3">
              <w:rPr>
                <w:rFonts w:ascii="Times New Roman" w:hAnsi="Times New Roman"/>
                <w:lang w:val="en-US"/>
              </w:rPr>
              <w:t>Numerology</w:t>
            </w:r>
          </w:p>
        </w:tc>
        <w:tc>
          <w:tcPr>
            <w:tcW w:w="5580" w:type="dxa"/>
          </w:tcPr>
          <w:p w14:paraId="7B1C794F" w14:textId="13D31039" w:rsidR="00120092" w:rsidRPr="004C6CE3" w:rsidRDefault="00120092" w:rsidP="00682B2A">
            <w:pPr>
              <w:rPr>
                <w:rFonts w:ascii="Times New Roman" w:hAnsi="Times New Roman"/>
                <w:lang w:val="en-US"/>
              </w:rPr>
            </w:pPr>
            <w:r w:rsidRPr="004C6CE3">
              <w:rPr>
                <w:rFonts w:ascii="Times New Roman" w:hAnsi="Times New Roman"/>
                <w:lang w:val="en-US"/>
              </w:rPr>
              <w:t>Same as NR-PSS/NR-SSS numerology</w:t>
            </w:r>
          </w:p>
        </w:tc>
      </w:tr>
      <w:tr w:rsidR="00120092" w:rsidRPr="004C6CE3" w14:paraId="1FA4C0D9" w14:textId="77777777" w:rsidTr="00120092">
        <w:tc>
          <w:tcPr>
            <w:tcW w:w="3150" w:type="dxa"/>
          </w:tcPr>
          <w:p w14:paraId="02C7A010" w14:textId="783E7445" w:rsidR="00120092" w:rsidRPr="004C6CE3" w:rsidRDefault="00120092" w:rsidP="00682B2A">
            <w:pPr>
              <w:rPr>
                <w:rFonts w:ascii="Times New Roman" w:hAnsi="Times New Roman"/>
                <w:lang w:val="en-US"/>
              </w:rPr>
            </w:pPr>
            <w:r w:rsidRPr="004C6CE3">
              <w:rPr>
                <w:rFonts w:ascii="Times New Roman" w:hAnsi="Times New Roman"/>
                <w:lang w:val="en-US"/>
              </w:rPr>
              <w:t xml:space="preserve">Multiplexing </w:t>
            </w:r>
          </w:p>
        </w:tc>
        <w:tc>
          <w:tcPr>
            <w:tcW w:w="5580" w:type="dxa"/>
          </w:tcPr>
          <w:p w14:paraId="3F5449EC" w14:textId="317F14C8" w:rsidR="00120092" w:rsidRPr="004C6CE3" w:rsidRDefault="00120092" w:rsidP="00682B2A">
            <w:pPr>
              <w:rPr>
                <w:rFonts w:ascii="Times New Roman" w:hAnsi="Times New Roman"/>
                <w:lang w:val="en-US"/>
              </w:rPr>
            </w:pPr>
            <w:r w:rsidRPr="004C6CE3">
              <w:rPr>
                <w:rFonts w:ascii="Times New Roman" w:hAnsi="Times New Roman"/>
                <w:lang w:val="en-US"/>
              </w:rPr>
              <w:t>TDM’ed with NR-PSS and NR-SSS within a SSB</w:t>
            </w:r>
          </w:p>
        </w:tc>
      </w:tr>
      <w:tr w:rsidR="00C06640" w:rsidRPr="004C6CE3" w14:paraId="50585F41" w14:textId="77777777" w:rsidTr="00120092">
        <w:tc>
          <w:tcPr>
            <w:tcW w:w="3150" w:type="dxa"/>
          </w:tcPr>
          <w:p w14:paraId="48437281" w14:textId="4AE05726" w:rsidR="00C06640" w:rsidRPr="004C6CE3" w:rsidRDefault="00C06640" w:rsidP="00682B2A">
            <w:pPr>
              <w:rPr>
                <w:rFonts w:ascii="Times New Roman" w:hAnsi="Times New Roman"/>
                <w:lang w:val="en-US"/>
              </w:rPr>
            </w:pPr>
            <w:r w:rsidRPr="004C6CE3">
              <w:rPr>
                <w:rFonts w:ascii="Times New Roman" w:hAnsi="Times New Roman"/>
                <w:lang w:val="en-US"/>
              </w:rPr>
              <w:t>Phase reference</w:t>
            </w:r>
          </w:p>
        </w:tc>
        <w:tc>
          <w:tcPr>
            <w:tcW w:w="5580" w:type="dxa"/>
          </w:tcPr>
          <w:p w14:paraId="5E8C885E" w14:textId="1537B7F7" w:rsidR="00C06640" w:rsidRPr="004C6CE3" w:rsidRDefault="00C06640" w:rsidP="00682B2A">
            <w:pPr>
              <w:rPr>
                <w:rFonts w:ascii="Times New Roman" w:hAnsi="Times New Roman"/>
                <w:lang w:val="en-US"/>
              </w:rPr>
            </w:pPr>
            <w:r w:rsidRPr="004C6CE3">
              <w:rPr>
                <w:rFonts w:ascii="Times New Roman" w:hAnsi="Times New Roman"/>
                <w:lang w:val="en-US"/>
              </w:rPr>
              <w:t>Dedicated DMRS</w:t>
            </w:r>
          </w:p>
        </w:tc>
      </w:tr>
    </w:tbl>
    <w:p w14:paraId="31BADBE9" w14:textId="77777777" w:rsidR="00682B2A" w:rsidRPr="00682B2A" w:rsidRDefault="00682B2A" w:rsidP="00682B2A">
      <w:pPr>
        <w:rPr>
          <w:lang w:val="en-US"/>
        </w:rPr>
      </w:pPr>
    </w:p>
    <w:p w14:paraId="2559CC9C" w14:textId="558858E5" w:rsidR="00682B2A" w:rsidRPr="00682B2A" w:rsidRDefault="005E5781" w:rsidP="00BE58DB">
      <w:pPr>
        <w:rPr>
          <w:lang w:eastAsia="ja-JP"/>
        </w:rPr>
      </w:pPr>
      <w:r>
        <w:rPr>
          <w:lang w:eastAsia="ja-JP"/>
        </w:rPr>
        <w:t xml:space="preserve">In this section, we discuss </w:t>
      </w:r>
      <w:r w:rsidR="003A776D">
        <w:rPr>
          <w:lang w:eastAsia="ja-JP"/>
        </w:rPr>
        <w:t xml:space="preserve">NR-PBCH </w:t>
      </w:r>
      <w:r>
        <w:rPr>
          <w:lang w:eastAsia="ja-JP"/>
        </w:rPr>
        <w:t>design aspects on bandwidth, phase reference</w:t>
      </w:r>
      <w:r w:rsidR="00265A7D">
        <w:rPr>
          <w:lang w:eastAsia="ja-JP"/>
        </w:rPr>
        <w:t>,</w:t>
      </w:r>
      <w:r>
        <w:rPr>
          <w:lang w:eastAsia="ja-JP"/>
        </w:rPr>
        <w:t xml:space="preserve"> transmission scheme</w:t>
      </w:r>
      <w:r w:rsidR="003A776D">
        <w:rPr>
          <w:lang w:eastAsia="ja-JP"/>
        </w:rPr>
        <w:t xml:space="preserve"> and self-decodability</w:t>
      </w:r>
      <w:r>
        <w:rPr>
          <w:lang w:eastAsia="ja-JP"/>
        </w:rPr>
        <w:t>.</w:t>
      </w:r>
    </w:p>
    <w:p w14:paraId="34FB2EC2" w14:textId="3E8CDAAD" w:rsidR="00C23F19" w:rsidRDefault="005E5781"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 xml:space="preserve">NR-PBCH </w:t>
      </w:r>
      <w:r w:rsidR="00DA16B8">
        <w:rPr>
          <w:rFonts w:eastAsia="SimSun"/>
          <w:lang w:val="en-US" w:eastAsia="ja-JP"/>
        </w:rPr>
        <w:t>B</w:t>
      </w:r>
      <w:r w:rsidR="00C23F19">
        <w:rPr>
          <w:rFonts w:eastAsia="SimSun"/>
          <w:lang w:val="en-US" w:eastAsia="ja-JP"/>
        </w:rPr>
        <w:t>andwidth</w:t>
      </w:r>
    </w:p>
    <w:p w14:paraId="743A02C6" w14:textId="64F30961" w:rsidR="00A96B2B" w:rsidRDefault="00A96B2B" w:rsidP="00C2700C">
      <w:pPr>
        <w:rPr>
          <w:lang w:val="en-US" w:eastAsia="ja-JP"/>
        </w:rPr>
      </w:pPr>
      <w:r>
        <w:rPr>
          <w:lang w:val="en-US" w:eastAsia="ja-JP"/>
        </w:rPr>
        <w:t>RAN1 agreed that one PBCH symbol occupies 288 resource elements. As the result, the PBCH bandwidth is twice SS (e.g., PSS, SSS) bandwidth. The bandwidth mismatch between PBCH and SS might have the following implications:</w:t>
      </w:r>
    </w:p>
    <w:p w14:paraId="06E55FAB" w14:textId="77777777" w:rsidR="009F3F08" w:rsidRDefault="009F3F08" w:rsidP="009F3F08">
      <w:pPr>
        <w:pStyle w:val="Caption"/>
        <w:jc w:val="center"/>
        <w:rPr>
          <w:lang w:eastAsia="ja-JP"/>
        </w:rPr>
      </w:pPr>
      <w:r w:rsidRPr="009F3F08">
        <w:rPr>
          <w:lang w:eastAsia="ja-JP"/>
        </w:rPr>
        <w:object w:dxaOrig="4855" w:dyaOrig="4486" w14:anchorId="53570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42.85pt;height:224.05pt" o:ole="">
            <v:imagedata r:id="rId13" o:title=""/>
          </v:shape>
          <o:OLEObject Type="Embed" ProgID="Visio.Drawing.11" ShapeID="_x0000_i1049" DrawAspect="Content" ObjectID="_1555523656" r:id="rId14"/>
        </w:object>
      </w:r>
    </w:p>
    <w:p w14:paraId="5ABBB2DE" w14:textId="77D6CF8E" w:rsidR="009F3F08" w:rsidRDefault="009F3F08" w:rsidP="009F3F08">
      <w:pPr>
        <w:pStyle w:val="Caption"/>
        <w:jc w:val="center"/>
        <w:rPr>
          <w:lang w:eastAsia="ja-JP"/>
        </w:rPr>
      </w:pPr>
      <w:r>
        <w:t xml:space="preserve">Figure </w:t>
      </w:r>
      <w:fldSimple w:instr=" SEQ Figure \* ARABIC ">
        <w:r>
          <w:rPr>
            <w:noProof/>
          </w:rPr>
          <w:t>1</w:t>
        </w:r>
      </w:fldSimple>
      <w:r>
        <w:t xml:space="preserve"> NR SS Block Composition</w:t>
      </w:r>
    </w:p>
    <w:p w14:paraId="58D940D6" w14:textId="77777777" w:rsidR="009F3F08" w:rsidRDefault="009F3F08" w:rsidP="00C2700C">
      <w:pPr>
        <w:rPr>
          <w:lang w:val="en-US" w:eastAsia="ja-JP"/>
        </w:rPr>
      </w:pPr>
    </w:p>
    <w:p w14:paraId="715B8262" w14:textId="7DCDF491" w:rsidR="00177DA8" w:rsidRPr="00A96B2B" w:rsidRDefault="00E60B01" w:rsidP="00A96B2B">
      <w:pPr>
        <w:numPr>
          <w:ilvl w:val="0"/>
          <w:numId w:val="35"/>
        </w:numPr>
        <w:rPr>
          <w:lang w:val="en-US" w:eastAsia="ja-JP"/>
        </w:rPr>
      </w:pPr>
      <w:r>
        <w:rPr>
          <w:lang w:val="en-US" w:eastAsia="ja-JP"/>
        </w:rPr>
        <w:t>RAN4 defines a minimum channel bandwidth of 5MHz for Sub-6 and 50MHz for mmW. E</w:t>
      </w:r>
      <w:r w:rsidR="00EC1D98" w:rsidRPr="00A96B2B">
        <w:rPr>
          <w:lang w:val="en-US" w:eastAsia="ja-JP"/>
        </w:rPr>
        <w:t>ven though it is still possible for RAN4 to define a larger min BW (</w:t>
      </w:r>
      <w:r>
        <w:rPr>
          <w:lang w:val="en-US" w:eastAsia="ja-JP"/>
        </w:rPr>
        <w:t xml:space="preserve">e.g., </w:t>
      </w:r>
      <w:r w:rsidR="00EC1D98" w:rsidRPr="00A96B2B">
        <w:rPr>
          <w:lang w:val="en-US" w:eastAsia="ja-JP"/>
        </w:rPr>
        <w:t xml:space="preserve">10MHz or 20MHz) than 5MHz for sub-6, there will still be many, if not all, sub-6 bands with 5MHz min BW in which only 15kHz can be used.  </w:t>
      </w:r>
      <w:r>
        <w:rPr>
          <w:lang w:val="en-US" w:eastAsia="ja-JP"/>
        </w:rPr>
        <w:t>Note that</w:t>
      </w:r>
      <w:r w:rsidR="00EC1D98" w:rsidRPr="00A96B2B">
        <w:rPr>
          <w:lang w:val="en-US" w:eastAsia="ja-JP"/>
        </w:rPr>
        <w:t xml:space="preserve"> </w:t>
      </w:r>
      <w:r>
        <w:rPr>
          <w:lang w:val="en-US" w:eastAsia="ja-JP"/>
        </w:rPr>
        <w:t xml:space="preserve">theoretically we </w:t>
      </w:r>
      <w:r w:rsidR="00EC1D98" w:rsidRPr="00A96B2B">
        <w:rPr>
          <w:lang w:val="en-US" w:eastAsia="ja-JP"/>
        </w:rPr>
        <w:t xml:space="preserve">can have different numerology between control/data and </w:t>
      </w:r>
      <w:r>
        <w:rPr>
          <w:lang w:val="en-US" w:eastAsia="ja-JP"/>
        </w:rPr>
        <w:t>SS/PBCH</w:t>
      </w:r>
      <w:r w:rsidR="00EC1D98" w:rsidRPr="00A96B2B">
        <w:rPr>
          <w:lang w:val="en-US" w:eastAsia="ja-JP"/>
        </w:rPr>
        <w:t xml:space="preserve">. However, given practical deployment consideration, 15kHz </w:t>
      </w:r>
      <w:r>
        <w:rPr>
          <w:lang w:val="en-US" w:eastAsia="ja-JP"/>
        </w:rPr>
        <w:t>SS/PBCH</w:t>
      </w:r>
      <w:r w:rsidR="00EC1D98" w:rsidRPr="00A96B2B">
        <w:rPr>
          <w:lang w:val="en-US" w:eastAsia="ja-JP"/>
        </w:rPr>
        <w:t xml:space="preserve"> may imply a high chance for the control/data to be deployed in 15kHz as well </w:t>
      </w:r>
      <w:r w:rsidR="00EC1D98" w:rsidRPr="00A96B2B">
        <w:rPr>
          <w:lang w:val="en-US" w:eastAsia="ja-JP"/>
        </w:rPr>
        <w:lastRenderedPageBreak/>
        <w:t xml:space="preserve">which makes NR look very similar to LTE. Our view is that 30kHz SCS for control/data is important enhancement from LTE to NR by allowing many benefits </w:t>
      </w:r>
      <w:r>
        <w:rPr>
          <w:lang w:val="en-US" w:eastAsia="ja-JP"/>
        </w:rPr>
        <w:t>such as</w:t>
      </w:r>
      <w:r w:rsidR="00EC1D98" w:rsidRPr="00A96B2B">
        <w:rPr>
          <w:lang w:val="en-US" w:eastAsia="ja-JP"/>
        </w:rPr>
        <w:t xml:space="preserve"> low latency, fast link adaptation, etc.</w:t>
      </w:r>
    </w:p>
    <w:p w14:paraId="5EA5D9FE" w14:textId="152FC7D4" w:rsidR="00177DA8" w:rsidRDefault="00EC1D98" w:rsidP="00A96B2B">
      <w:pPr>
        <w:numPr>
          <w:ilvl w:val="0"/>
          <w:numId w:val="35"/>
        </w:numPr>
        <w:rPr>
          <w:lang w:val="en-US" w:eastAsia="ja-JP"/>
        </w:rPr>
      </w:pPr>
      <w:r w:rsidRPr="00A96B2B">
        <w:rPr>
          <w:lang w:val="en-US" w:eastAsia="ja-JP"/>
        </w:rPr>
        <w:t xml:space="preserve">288-tone PBCH can also negatively impact the sync raster design. When determining the sync raster, we need to work with the min BW for each band. With 288-tone PBCH, the SS block can occupy almost the full min BW. </w:t>
      </w:r>
      <w:r w:rsidR="00C95849">
        <w:rPr>
          <w:lang w:val="en-US" w:eastAsia="ja-JP"/>
        </w:rPr>
        <w:t>As the result</w:t>
      </w:r>
      <w:r w:rsidR="0066343D">
        <w:rPr>
          <w:lang w:val="en-US" w:eastAsia="ja-JP"/>
        </w:rPr>
        <w:t>,</w:t>
      </w:r>
      <w:r w:rsidRPr="00A96B2B">
        <w:rPr>
          <w:lang w:val="en-US" w:eastAsia="ja-JP"/>
        </w:rPr>
        <w:t xml:space="preserve"> the sync raster </w:t>
      </w:r>
      <w:r w:rsidR="004F7B67">
        <w:rPr>
          <w:lang w:val="en-US" w:eastAsia="ja-JP"/>
        </w:rPr>
        <w:t>is as fine as</w:t>
      </w:r>
      <w:r w:rsidRPr="00A96B2B">
        <w:rPr>
          <w:lang w:val="en-US" w:eastAsia="ja-JP"/>
        </w:rPr>
        <w:t xml:space="preserve"> channel raster</w:t>
      </w:r>
      <w:r w:rsidR="00C95849">
        <w:rPr>
          <w:lang w:val="en-US" w:eastAsia="ja-JP"/>
        </w:rPr>
        <w:t xml:space="preserve"> and hence 288-tone PBCH </w:t>
      </w:r>
      <w:r w:rsidR="0066343D" w:rsidRPr="00A96B2B">
        <w:rPr>
          <w:lang w:val="en-US" w:eastAsia="ja-JP"/>
        </w:rPr>
        <w:t>significantly impact</w:t>
      </w:r>
      <w:r w:rsidR="00C95849">
        <w:rPr>
          <w:lang w:val="en-US" w:eastAsia="ja-JP"/>
        </w:rPr>
        <w:t>s</w:t>
      </w:r>
      <w:r w:rsidR="0066343D" w:rsidRPr="00A96B2B">
        <w:rPr>
          <w:lang w:val="en-US" w:eastAsia="ja-JP"/>
        </w:rPr>
        <w:t xml:space="preserve"> the UE initial access performance</w:t>
      </w:r>
      <w:r w:rsidR="0066343D">
        <w:rPr>
          <w:lang w:val="en-US" w:eastAsia="ja-JP"/>
        </w:rPr>
        <w:t>.</w:t>
      </w:r>
    </w:p>
    <w:p w14:paraId="6511C01E" w14:textId="7794AC3F" w:rsidR="008452A7" w:rsidRPr="00A96B2B" w:rsidRDefault="00A13A7A" w:rsidP="00A96B2B">
      <w:pPr>
        <w:numPr>
          <w:ilvl w:val="0"/>
          <w:numId w:val="35"/>
        </w:numPr>
        <w:rPr>
          <w:lang w:val="en-US" w:eastAsia="ja-JP"/>
        </w:rPr>
      </w:pPr>
      <w:r>
        <w:rPr>
          <w:lang w:val="en-US" w:eastAsia="ja-JP"/>
        </w:rPr>
        <w:t xml:space="preserve">The bandwidth mismatch between PBCH and SS shall introduce unused </w:t>
      </w:r>
      <w:r w:rsidR="00D63894">
        <w:rPr>
          <w:lang w:val="en-US" w:eastAsia="ja-JP"/>
        </w:rPr>
        <w:t>RE</w:t>
      </w:r>
      <w:r>
        <w:rPr>
          <w:lang w:val="en-US" w:eastAsia="ja-JP"/>
        </w:rPr>
        <w:t xml:space="preserve">s in SS symbols within SS block. </w:t>
      </w:r>
      <w:r w:rsidR="00391A25">
        <w:rPr>
          <w:lang w:val="en-US" w:eastAsia="ja-JP"/>
        </w:rPr>
        <w:t>NR might have deployments in which SS block might have different numerology from the data</w:t>
      </w:r>
      <w:r w:rsidR="00D63894">
        <w:rPr>
          <w:lang w:val="en-US" w:eastAsia="ja-JP"/>
        </w:rPr>
        <w:t>/control</w:t>
      </w:r>
      <w:r w:rsidR="00391A25">
        <w:rPr>
          <w:lang w:val="en-US" w:eastAsia="ja-JP"/>
        </w:rPr>
        <w:t xml:space="preserve"> sent in the same slot with SS. </w:t>
      </w:r>
      <w:r w:rsidR="00D63894">
        <w:rPr>
          <w:lang w:val="en-US" w:eastAsia="ja-JP"/>
        </w:rPr>
        <w:t>This shall make difficult for the using of unused REs within SS block for data/control.</w:t>
      </w:r>
      <w:r w:rsidR="007C4168">
        <w:rPr>
          <w:lang w:val="en-US" w:eastAsia="ja-JP"/>
        </w:rPr>
        <w:t xml:space="preserve"> </w:t>
      </w:r>
    </w:p>
    <w:p w14:paraId="44A927AB" w14:textId="7CB5F4F9" w:rsidR="00F740F7" w:rsidRDefault="00C15EA3" w:rsidP="00C2700C">
      <w:pPr>
        <w:rPr>
          <w:lang w:val="en-US" w:eastAsia="ja-JP"/>
        </w:rPr>
      </w:pPr>
      <w:r>
        <w:rPr>
          <w:lang w:val="en-US" w:eastAsia="ja-JP"/>
        </w:rPr>
        <w:t xml:space="preserve">One of the main motivations to have 288-tone PBCH might come from an assumption that PBCH payload is </w:t>
      </w:r>
      <w:r w:rsidRPr="00A6132E">
        <w:rPr>
          <w:b/>
          <w:i/>
          <w:lang w:val="en-US" w:eastAsia="ja-JP"/>
        </w:rPr>
        <w:t>much larger</w:t>
      </w:r>
      <w:r>
        <w:rPr>
          <w:lang w:val="en-US" w:eastAsia="ja-JP"/>
        </w:rPr>
        <w:t xml:space="preserve"> than LTE PBCH payload e.g., 40 bits. </w:t>
      </w:r>
      <w:r w:rsidR="009F0F97">
        <w:rPr>
          <w:lang w:val="en-US" w:eastAsia="ja-JP"/>
        </w:rPr>
        <w:t xml:space="preserve">From our analysis in Section </w:t>
      </w:r>
      <w:r w:rsidR="009F0F97">
        <w:rPr>
          <w:lang w:val="en-US" w:eastAsia="ja-JP"/>
        </w:rPr>
        <w:fldChar w:fldCharType="begin"/>
      </w:r>
      <w:r w:rsidR="009F0F97">
        <w:rPr>
          <w:lang w:val="en-US" w:eastAsia="ja-JP"/>
        </w:rPr>
        <w:instrText xml:space="preserve"> REF _Ref481753149 \r \h </w:instrText>
      </w:r>
      <w:r w:rsidR="009F0F97">
        <w:rPr>
          <w:lang w:val="en-US" w:eastAsia="ja-JP"/>
        </w:rPr>
      </w:r>
      <w:r w:rsidR="009F0F97">
        <w:rPr>
          <w:lang w:val="en-US" w:eastAsia="ja-JP"/>
        </w:rPr>
        <w:fldChar w:fldCharType="separate"/>
      </w:r>
      <w:r w:rsidR="009F0F97">
        <w:rPr>
          <w:lang w:val="en-US" w:eastAsia="ja-JP"/>
        </w:rPr>
        <w:t>2</w:t>
      </w:r>
      <w:r w:rsidR="009F0F97">
        <w:rPr>
          <w:lang w:val="en-US" w:eastAsia="ja-JP"/>
        </w:rPr>
        <w:fldChar w:fldCharType="end"/>
      </w:r>
      <w:r w:rsidR="009F0F97">
        <w:rPr>
          <w:lang w:val="en-US" w:eastAsia="ja-JP"/>
        </w:rPr>
        <w:t>, NR-PBCH payload is only 48 bits which is 8 bits more than LTE PBCH payload.</w:t>
      </w:r>
      <w:r w:rsidR="00F740F7">
        <w:rPr>
          <w:lang w:val="en-US" w:eastAsia="ja-JP"/>
        </w:rPr>
        <w:t xml:space="preserve"> </w:t>
      </w:r>
      <w:r w:rsidR="008452A7">
        <w:rPr>
          <w:lang w:val="en-US" w:eastAsia="ja-JP"/>
        </w:rPr>
        <w:t>Based on our analysis on the impacts of 288-tone PBCH design, we make the following proposal:</w:t>
      </w:r>
    </w:p>
    <w:p w14:paraId="241C6F6B" w14:textId="53E9BE04" w:rsidR="0051735C" w:rsidRDefault="00793065" w:rsidP="001D3108">
      <w:pPr>
        <w:jc w:val="both"/>
        <w:rPr>
          <w:lang w:val="en-US"/>
        </w:rPr>
      </w:pPr>
      <w:r w:rsidRPr="000E6947">
        <w:rPr>
          <w:b/>
          <w:u w:val="single"/>
          <w:lang w:val="en-US"/>
        </w:rPr>
        <w:t>Proposal 2:</w:t>
      </w:r>
      <w:r>
        <w:rPr>
          <w:lang w:val="en-US"/>
        </w:rPr>
        <w:t xml:space="preserve"> </w:t>
      </w:r>
      <w:r w:rsidR="0051735C">
        <w:rPr>
          <w:lang w:val="en-US"/>
        </w:rPr>
        <w:t xml:space="preserve">Revisit </w:t>
      </w:r>
      <w:r w:rsidR="00A77AF1">
        <w:rPr>
          <w:lang w:val="en-US"/>
        </w:rPr>
        <w:t xml:space="preserve">the </w:t>
      </w:r>
      <w:r w:rsidR="0051735C">
        <w:rPr>
          <w:lang w:val="en-US"/>
        </w:rPr>
        <w:t>agreement on 288 tones of PBCH, while keep the other agreement unchanged</w:t>
      </w:r>
    </w:p>
    <w:p w14:paraId="4AB284A9" w14:textId="3B5D1BAC" w:rsidR="007826DE" w:rsidRPr="002333B0" w:rsidRDefault="007826DE"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DMRS for PBCH demodulation</w:t>
      </w:r>
    </w:p>
    <w:p w14:paraId="05BEC817" w14:textId="6223B57A" w:rsidR="00EC19AC" w:rsidRDefault="00EC19AC" w:rsidP="00EA768A">
      <w:pPr>
        <w:jc w:val="both"/>
        <w:rPr>
          <w:lang w:val="en-US"/>
        </w:rPr>
      </w:pPr>
      <w:r>
        <w:rPr>
          <w:lang w:val="en-US"/>
        </w:rPr>
        <w:t>RAN1 had made the following agreements:</w:t>
      </w:r>
    </w:p>
    <w:p w14:paraId="4406090C" w14:textId="2A9C2B32" w:rsidR="00EC19AC" w:rsidRDefault="00EC19AC" w:rsidP="00EC19AC">
      <w:pPr>
        <w:pStyle w:val="ListParagraph"/>
        <w:numPr>
          <w:ilvl w:val="0"/>
          <w:numId w:val="34"/>
        </w:numPr>
        <w:jc w:val="both"/>
        <w:rPr>
          <w:rFonts w:ascii="Times New Roman" w:hAnsi="Times New Roman"/>
          <w:sz w:val="20"/>
        </w:rPr>
      </w:pPr>
      <w:r>
        <w:rPr>
          <w:rFonts w:ascii="Times New Roman" w:hAnsi="Times New Roman"/>
          <w:sz w:val="20"/>
        </w:rPr>
        <w:t>W</w:t>
      </w:r>
      <w:r w:rsidRPr="00EC19AC">
        <w:rPr>
          <w:rFonts w:ascii="Times New Roman" w:hAnsi="Times New Roman"/>
          <w:sz w:val="20"/>
        </w:rPr>
        <w:t>orking assumption</w:t>
      </w:r>
      <w:r>
        <w:rPr>
          <w:rFonts w:ascii="Times New Roman" w:hAnsi="Times New Roman"/>
          <w:sz w:val="20"/>
        </w:rPr>
        <w:t>:</w:t>
      </w:r>
      <w:r w:rsidRPr="00EC19AC">
        <w:rPr>
          <w:rFonts w:ascii="Times New Roman" w:hAnsi="Times New Roman"/>
          <w:sz w:val="20"/>
        </w:rPr>
        <w:t xml:space="preserve"> NR-PBCH has a single </w:t>
      </w:r>
      <w:r>
        <w:rPr>
          <w:rFonts w:ascii="Times New Roman" w:hAnsi="Times New Roman"/>
          <w:sz w:val="20"/>
        </w:rPr>
        <w:t>antenna port transmission,</w:t>
      </w:r>
      <w:r w:rsidRPr="00EC19AC">
        <w:rPr>
          <w:rFonts w:ascii="Times New Roman" w:hAnsi="Times New Roman"/>
          <w:sz w:val="20"/>
        </w:rPr>
        <w:t xml:space="preserve"> </w:t>
      </w:r>
    </w:p>
    <w:p w14:paraId="0694BCFA" w14:textId="686FB11F" w:rsidR="00EC19AC" w:rsidRPr="00EC19AC" w:rsidRDefault="00EC19AC" w:rsidP="00EC19AC">
      <w:pPr>
        <w:pStyle w:val="ListParagraph"/>
        <w:numPr>
          <w:ilvl w:val="0"/>
          <w:numId w:val="34"/>
        </w:numPr>
        <w:jc w:val="both"/>
        <w:rPr>
          <w:rFonts w:ascii="Times New Roman" w:hAnsi="Times New Roman"/>
          <w:sz w:val="20"/>
        </w:rPr>
      </w:pPr>
      <w:r w:rsidRPr="00EC19AC">
        <w:rPr>
          <w:rFonts w:ascii="Times New Roman" w:hAnsi="Times New Roman"/>
          <w:sz w:val="20"/>
        </w:rPr>
        <w:t>NR-SSS</w:t>
      </w:r>
      <w:r>
        <w:rPr>
          <w:rFonts w:ascii="Times New Roman" w:hAnsi="Times New Roman"/>
          <w:sz w:val="20"/>
        </w:rPr>
        <w:t xml:space="preserve"> has a single port antenna transmission,</w:t>
      </w:r>
    </w:p>
    <w:p w14:paraId="5E61B336" w14:textId="31BAE0BB" w:rsidR="00EC19AC" w:rsidRPr="00EC19AC" w:rsidRDefault="00EC19AC" w:rsidP="00EC19AC">
      <w:pPr>
        <w:pStyle w:val="ListParagraph"/>
        <w:numPr>
          <w:ilvl w:val="0"/>
          <w:numId w:val="34"/>
        </w:numPr>
        <w:jc w:val="both"/>
        <w:rPr>
          <w:rFonts w:ascii="Times New Roman" w:hAnsi="Times New Roman"/>
          <w:sz w:val="20"/>
        </w:rPr>
      </w:pPr>
      <w:r>
        <w:rPr>
          <w:rFonts w:ascii="Times New Roman" w:hAnsi="Times New Roman"/>
          <w:sz w:val="20"/>
        </w:rPr>
        <w:t>And NR-PBCH always sends together with NR-PSS and NR-SSS in a SS block.</w:t>
      </w:r>
    </w:p>
    <w:p w14:paraId="71446C0F" w14:textId="364B0B4F" w:rsidR="00A802AD" w:rsidRDefault="00CD020E" w:rsidP="00A24FAA">
      <w:pPr>
        <w:jc w:val="both"/>
      </w:pPr>
      <w:r>
        <w:rPr>
          <w:lang w:val="en-US"/>
        </w:rPr>
        <w:t xml:space="preserve">As the result, it is </w:t>
      </w:r>
      <w:r w:rsidR="007C4168">
        <w:rPr>
          <w:lang w:val="en-US"/>
        </w:rPr>
        <w:t xml:space="preserve">more </w:t>
      </w:r>
      <w:r>
        <w:rPr>
          <w:lang w:val="en-US"/>
        </w:rPr>
        <w:t>efficient to use NR-SSS for PBCH phase reference.</w:t>
      </w:r>
      <w:r w:rsidR="00C24C2C">
        <w:rPr>
          <w:lang w:val="en-US"/>
        </w:rPr>
        <w:t xml:space="preserve"> Together with our</w:t>
      </w:r>
      <w:r w:rsidR="008802CB">
        <w:rPr>
          <w:lang w:val="en-US"/>
        </w:rPr>
        <w:t xml:space="preserve"> PBCH bandwidth proposal, there is no need to introduce additional DMRS for PBCH.</w:t>
      </w:r>
      <w:r w:rsidR="00EB11ED">
        <w:rPr>
          <w:lang w:val="en-US"/>
        </w:rPr>
        <w:t xml:space="preserve"> </w:t>
      </w:r>
      <w:r w:rsidR="007C4168">
        <w:rPr>
          <w:lang w:val="en-US"/>
        </w:rPr>
        <w:t>On the other hand</w:t>
      </w:r>
      <w:r w:rsidR="008802CB">
        <w:rPr>
          <w:lang w:val="en-US"/>
        </w:rPr>
        <w:t>, if NR support</w:t>
      </w:r>
      <w:r w:rsidR="00537C0C">
        <w:rPr>
          <w:lang w:val="en-US"/>
        </w:rPr>
        <w:t>s</w:t>
      </w:r>
      <w:r w:rsidR="008802CB">
        <w:rPr>
          <w:lang w:val="en-US"/>
        </w:rPr>
        <w:t xml:space="preserve"> bandwidth mismatch between PBCH and SS as the current agreements,</w:t>
      </w:r>
      <w:r w:rsidR="007C4168">
        <w:rPr>
          <w:lang w:val="en-US"/>
        </w:rPr>
        <w:t xml:space="preserve"> </w:t>
      </w:r>
      <w:r w:rsidR="00D248FC">
        <w:rPr>
          <w:lang w:val="en-US"/>
        </w:rPr>
        <w:t xml:space="preserve">additional DMRS could be introduced in the sub-bands outside of PSS/SSS bandwidth. By this way, </w:t>
      </w:r>
      <w:r w:rsidR="00D248FC" w:rsidRPr="00D248FC">
        <w:rPr>
          <w:lang w:val="en-US"/>
        </w:rPr>
        <w:t>SSS can also be used for PBCH phase reference</w:t>
      </w:r>
      <w:r w:rsidR="00D248FC">
        <w:rPr>
          <w:lang w:val="en-US"/>
        </w:rPr>
        <w:t xml:space="preserve"> and n</w:t>
      </w:r>
      <w:r w:rsidR="00D248FC">
        <w:t>o DMRS is required within PSS/SSS bandwidth. Hence, we can have more REs within SS bandwidth for sending PBCH.</w:t>
      </w:r>
      <w:r w:rsidR="00E23AA1">
        <w:t xml:space="preserve"> More specifically, </w:t>
      </w:r>
      <w:r w:rsidR="00D248FC">
        <w:t xml:space="preserve">DMRS is FDMed </w:t>
      </w:r>
      <w:r w:rsidR="00CC67B6">
        <w:t>with PBCH</w:t>
      </w:r>
      <w:r w:rsidR="007C51D4">
        <w:t xml:space="preserve"> as illustrated in</w:t>
      </w:r>
      <w:r w:rsidR="007C51D4" w:rsidRPr="00836914">
        <w:t xml:space="preserve"> </w:t>
      </w:r>
      <w:r w:rsidR="00836914" w:rsidRPr="00836914">
        <w:fldChar w:fldCharType="begin"/>
      </w:r>
      <w:r w:rsidR="00836914" w:rsidRPr="00836914">
        <w:instrText xml:space="preserve"> REF _Ref481757628 \h  \* MERGEFORMAT </w:instrText>
      </w:r>
      <w:r w:rsidR="00836914" w:rsidRPr="00836914">
        <w:fldChar w:fldCharType="separate"/>
      </w:r>
      <w:r w:rsidR="00836914" w:rsidRPr="00836914">
        <w:t xml:space="preserve">Figure </w:t>
      </w:r>
      <w:r w:rsidR="00836914" w:rsidRPr="00836914">
        <w:rPr>
          <w:noProof/>
        </w:rPr>
        <w:t>1</w:t>
      </w:r>
      <w:r w:rsidR="00836914" w:rsidRPr="00836914">
        <w:fldChar w:fldCharType="end"/>
      </w:r>
      <w:r w:rsidR="007F7A91">
        <w:t>a</w:t>
      </w:r>
      <w:r w:rsidR="00836914">
        <w:t>.</w:t>
      </w:r>
      <w:r w:rsidR="00975E83">
        <w:t xml:space="preserve"> Note that DMRS can be staggered across PBCH symbols for frequency diversity.</w:t>
      </w:r>
    </w:p>
    <w:p w14:paraId="6AA6E17B" w14:textId="35579AA6" w:rsidR="008802CB" w:rsidRDefault="00FB1FCC" w:rsidP="00EB2FB8">
      <w:pPr>
        <w:jc w:val="center"/>
      </w:pPr>
      <w:r>
        <w:object w:dxaOrig="5681" w:dyaOrig="5013" w14:anchorId="074CFACC">
          <v:shape id="_x0000_i1025" type="#_x0000_t75" style="width:142.4pt;height:125.2pt" o:ole="">
            <v:imagedata r:id="rId15" o:title=""/>
          </v:shape>
          <o:OLEObject Type="Embed" ProgID="Visio.Drawing.11" ShapeID="_x0000_i1025" DrawAspect="Content" ObjectID="_1555523657" r:id="rId16"/>
        </w:object>
      </w:r>
      <w:r w:rsidR="00EB2FB8">
        <w:t xml:space="preserve">           </w:t>
      </w:r>
      <w:r w:rsidR="00EB2FB8" w:rsidRPr="00EB2FB8">
        <w:t xml:space="preserve"> </w:t>
      </w:r>
    </w:p>
    <w:p w14:paraId="4419F38B" w14:textId="574E8CAC" w:rsidR="00EB2FB8" w:rsidRDefault="00EB2FB8" w:rsidP="00EB2FB8">
      <w:pPr>
        <w:pStyle w:val="Caption"/>
        <w:jc w:val="center"/>
      </w:pPr>
      <w:bookmarkStart w:id="6" w:name="_Ref481757628"/>
      <w:r>
        <w:t xml:space="preserve">Figure </w:t>
      </w:r>
      <w:r w:rsidR="0033534C">
        <w:fldChar w:fldCharType="begin"/>
      </w:r>
      <w:r w:rsidR="0033534C">
        <w:instrText xml:space="preserve"> SEQ Figure \* ARABIC </w:instrText>
      </w:r>
      <w:r w:rsidR="0033534C">
        <w:fldChar w:fldCharType="separate"/>
      </w:r>
      <w:r w:rsidR="009F3F08">
        <w:rPr>
          <w:noProof/>
        </w:rPr>
        <w:t>2</w:t>
      </w:r>
      <w:r w:rsidR="0033534C">
        <w:rPr>
          <w:noProof/>
        </w:rPr>
        <w:fldChar w:fldCharType="end"/>
      </w:r>
      <w:bookmarkEnd w:id="6"/>
      <w:r>
        <w:t>: PBCH, DMRS and SSS within a SS block</w:t>
      </w:r>
    </w:p>
    <w:p w14:paraId="0A29AB1C" w14:textId="77777777" w:rsidR="008802CB" w:rsidRDefault="008802CB" w:rsidP="00EA768A">
      <w:pPr>
        <w:jc w:val="both"/>
        <w:rPr>
          <w:lang w:val="en-US"/>
        </w:rPr>
      </w:pPr>
    </w:p>
    <w:p w14:paraId="1AD4EF6B" w14:textId="340553B5" w:rsidR="00673123" w:rsidRDefault="00673123" w:rsidP="00673123">
      <w:r w:rsidRPr="009D2899">
        <w:rPr>
          <w:b/>
          <w:u w:val="single"/>
          <w:lang w:val="en-US" w:eastAsia="zh-CN"/>
        </w:rPr>
        <w:t xml:space="preserve">Proposal </w:t>
      </w:r>
      <w:r w:rsidR="00AD52E3">
        <w:rPr>
          <w:b/>
          <w:u w:val="single"/>
          <w:lang w:val="en-US" w:eastAsia="zh-CN"/>
        </w:rPr>
        <w:t>3</w:t>
      </w:r>
      <w:r w:rsidRPr="005518A5">
        <w:rPr>
          <w:b/>
          <w:lang w:val="en-US" w:eastAsia="zh-CN"/>
        </w:rPr>
        <w:t>:</w:t>
      </w:r>
      <w:r>
        <w:rPr>
          <w:b/>
          <w:lang w:val="en-US" w:eastAsia="zh-CN"/>
        </w:rPr>
        <w:t xml:space="preserve"> </w:t>
      </w:r>
      <w:r w:rsidRPr="00B04E8F">
        <w:t xml:space="preserve">The antenna port used for transmitting </w:t>
      </w:r>
      <w:r w:rsidR="005E35DE">
        <w:t>the physical broadcast channel</w:t>
      </w:r>
      <w:r w:rsidR="005E35DE" w:rsidRPr="00B04E8F">
        <w:t xml:space="preserve"> </w:t>
      </w:r>
      <w:r w:rsidRPr="00B04E8F">
        <w:t>shall be identical to the antenna port used for transmitting</w:t>
      </w:r>
      <w:r>
        <w:t xml:space="preserve"> </w:t>
      </w:r>
      <w:r w:rsidR="005E35DE" w:rsidRPr="00B04E8F">
        <w:t>the secondary synchronization signal</w:t>
      </w:r>
      <w:r w:rsidR="005E35DE">
        <w:t xml:space="preserve"> in</w:t>
      </w:r>
      <w:r>
        <w:t xml:space="preserve"> a synchronization signal block.</w:t>
      </w:r>
    </w:p>
    <w:p w14:paraId="2993E2DB" w14:textId="77777777" w:rsidR="000E0C49" w:rsidRDefault="000E0C49" w:rsidP="000E0C49">
      <w:pPr>
        <w:rPr>
          <w:lang w:val="en-US"/>
        </w:rPr>
      </w:pPr>
      <w:r w:rsidRPr="009D2899">
        <w:rPr>
          <w:b/>
          <w:u w:val="single"/>
          <w:lang w:val="en-US" w:eastAsia="zh-CN"/>
        </w:rPr>
        <w:t xml:space="preserve">Proposal </w:t>
      </w:r>
      <w:r>
        <w:rPr>
          <w:b/>
          <w:u w:val="single"/>
          <w:lang w:val="en-US" w:eastAsia="zh-CN"/>
        </w:rPr>
        <w:t>4</w:t>
      </w:r>
      <w:r w:rsidRPr="005518A5">
        <w:rPr>
          <w:b/>
          <w:lang w:val="en-US" w:eastAsia="zh-CN"/>
        </w:rPr>
        <w:t>:</w:t>
      </w:r>
      <w:r>
        <w:rPr>
          <w:b/>
          <w:lang w:val="en-US" w:eastAsia="zh-CN"/>
        </w:rPr>
        <w:t xml:space="preserve"> </w:t>
      </w:r>
      <w:r w:rsidRPr="00975E83">
        <w:rPr>
          <w:lang w:val="en-US" w:eastAsia="zh-CN"/>
        </w:rPr>
        <w:t>I</w:t>
      </w:r>
      <w:r>
        <w:rPr>
          <w:lang w:val="en-US"/>
        </w:rPr>
        <w:t>f NR supports bandwidth mismatch between PBCH and SS as the current agreements, DMRS is FDMed with PBCH. Furthermore, no DMRS is introduced within SSS bandwidth.</w:t>
      </w:r>
    </w:p>
    <w:p w14:paraId="2CCE6886" w14:textId="316BDB3D" w:rsidR="008B4B2B" w:rsidRDefault="00C537E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8817D4" w:rsidRPr="008817D4">
        <w:rPr>
          <w:rFonts w:eastAsia="SimSun"/>
          <w:sz w:val="36"/>
          <w:lang w:eastAsia="ja-JP"/>
        </w:rPr>
        <w:t xml:space="preserve">. </w:t>
      </w:r>
      <w:r w:rsidR="008B4B2B">
        <w:rPr>
          <w:rFonts w:eastAsia="SimSun"/>
          <w:sz w:val="36"/>
          <w:lang w:eastAsia="ja-JP"/>
        </w:rPr>
        <w:t>Conclusion</w:t>
      </w:r>
    </w:p>
    <w:p w14:paraId="058CACA2" w14:textId="4297F7CB" w:rsidR="00D81365" w:rsidRDefault="00461DC0" w:rsidP="00D81365">
      <w:pPr>
        <w:rPr>
          <w:lang w:val="en-US" w:eastAsia="ja-JP"/>
        </w:rPr>
      </w:pPr>
      <w:r>
        <w:rPr>
          <w:lang w:val="en-US" w:eastAsia="ja-JP"/>
        </w:rPr>
        <w:t>T</w:t>
      </w:r>
      <w:r w:rsidR="00D81365">
        <w:rPr>
          <w:lang w:val="en-US" w:eastAsia="ja-JP"/>
        </w:rPr>
        <w:t>his contribution</w:t>
      </w:r>
      <w:r>
        <w:rPr>
          <w:lang w:val="en-US" w:eastAsia="ja-JP"/>
        </w:rPr>
        <w:t xml:space="preserve"> has discussed NR-PBCH payload as well as NR-PBCH design. More specifically,</w:t>
      </w:r>
      <w:r w:rsidR="00D81365">
        <w:rPr>
          <w:lang w:val="en-US" w:eastAsia="ja-JP"/>
        </w:rPr>
        <w:t xml:space="preserve"> the following proposals</w:t>
      </w:r>
      <w:r>
        <w:rPr>
          <w:lang w:val="en-US" w:eastAsia="ja-JP"/>
        </w:rPr>
        <w:t xml:space="preserve"> have been made</w:t>
      </w:r>
      <w:r w:rsidR="00D81365">
        <w:rPr>
          <w:lang w:val="en-US" w:eastAsia="ja-JP"/>
        </w:rPr>
        <w:t>:</w:t>
      </w:r>
    </w:p>
    <w:p w14:paraId="7688A65A" w14:textId="39EA5529" w:rsidR="00461DC0" w:rsidRDefault="00461DC0" w:rsidP="00461DC0">
      <w:pPr>
        <w:jc w:val="both"/>
        <w:rPr>
          <w:lang w:val="en-US" w:eastAsia="ja-JP"/>
        </w:rPr>
      </w:pPr>
      <w:r w:rsidRPr="007875D5">
        <w:rPr>
          <w:b/>
          <w:u w:val="single"/>
          <w:lang w:val="en-US"/>
        </w:rPr>
        <w:lastRenderedPageBreak/>
        <w:t>Proposal 1:</w:t>
      </w:r>
      <w:r>
        <w:rPr>
          <w:b/>
          <w:lang w:val="en-US"/>
        </w:rPr>
        <w:t xml:space="preserve"> </w:t>
      </w:r>
      <w:r>
        <w:rPr>
          <w:lang w:val="en-US" w:eastAsia="ja-JP"/>
        </w:rPr>
        <w:t xml:space="preserve">RAN1 adopts the information elements provided in </w:t>
      </w:r>
      <w:r>
        <w:rPr>
          <w:lang w:val="en-US" w:eastAsia="ja-JP"/>
        </w:rPr>
        <w:fldChar w:fldCharType="begin"/>
      </w:r>
      <w:r>
        <w:rPr>
          <w:lang w:val="en-US" w:eastAsia="ja-JP"/>
        </w:rPr>
        <w:instrText xml:space="preserve"> REF _Ref470461782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 xml:space="preserve"> for MSIB which is carried by NR-PBCH payload. Furthermore, MSIB size is 48 bits (including 16 CRC bits and 9 reserved bits).</w:t>
      </w:r>
    </w:p>
    <w:p w14:paraId="1497C98A" w14:textId="47C69A90" w:rsidR="008A26F2" w:rsidRDefault="004831D0" w:rsidP="004831D0">
      <w:pPr>
        <w:jc w:val="both"/>
        <w:rPr>
          <w:lang w:val="en-US"/>
        </w:rPr>
      </w:pPr>
      <w:r w:rsidRPr="000E6947">
        <w:rPr>
          <w:b/>
          <w:u w:val="single"/>
          <w:lang w:val="en-US"/>
        </w:rPr>
        <w:t>Proposal 2:</w:t>
      </w:r>
      <w:r>
        <w:rPr>
          <w:lang w:val="en-US"/>
        </w:rPr>
        <w:t xml:space="preserve"> Revisit </w:t>
      </w:r>
      <w:r w:rsidR="00D17C93">
        <w:rPr>
          <w:lang w:val="en-US"/>
        </w:rPr>
        <w:t xml:space="preserve">the </w:t>
      </w:r>
      <w:r>
        <w:rPr>
          <w:lang w:val="en-US"/>
        </w:rPr>
        <w:t>agreement on 288 tones of PBCH, while kee</w:t>
      </w:r>
      <w:r>
        <w:rPr>
          <w:lang w:val="en-US"/>
        </w:rPr>
        <w:t>p the other agreement unchanged</w:t>
      </w:r>
    </w:p>
    <w:p w14:paraId="5DEAE2E4" w14:textId="77777777" w:rsidR="0023672F" w:rsidRDefault="0023672F" w:rsidP="0023672F">
      <w:r w:rsidRPr="009D2899">
        <w:rPr>
          <w:b/>
          <w:u w:val="single"/>
          <w:lang w:val="en-US" w:eastAsia="zh-CN"/>
        </w:rPr>
        <w:t xml:space="preserve">Proposal </w:t>
      </w:r>
      <w:r>
        <w:rPr>
          <w:b/>
          <w:u w:val="single"/>
          <w:lang w:val="en-US" w:eastAsia="zh-CN"/>
        </w:rPr>
        <w:t>3</w:t>
      </w:r>
      <w:r w:rsidRPr="005518A5">
        <w:rPr>
          <w:b/>
          <w:lang w:val="en-US" w:eastAsia="zh-CN"/>
        </w:rPr>
        <w:t>:</w:t>
      </w:r>
      <w:r>
        <w:rPr>
          <w:b/>
          <w:lang w:val="en-US" w:eastAsia="zh-CN"/>
        </w:rPr>
        <w:t xml:space="preserve"> </w:t>
      </w:r>
      <w:r w:rsidRPr="00B04E8F">
        <w:t xml:space="preserve">The antenna port used for transmitting </w:t>
      </w:r>
      <w:r>
        <w:t>the physical broadcast channel</w:t>
      </w:r>
      <w:r w:rsidRPr="00B04E8F">
        <w:t xml:space="preserve"> shall be identical to the antenna port used for transmitting</w:t>
      </w:r>
      <w:r>
        <w:t xml:space="preserve"> </w:t>
      </w:r>
      <w:r w:rsidRPr="00B04E8F">
        <w:t>the secondary synchronization signal</w:t>
      </w:r>
      <w:r>
        <w:t xml:space="preserve"> in a synchronization signal block.</w:t>
      </w:r>
    </w:p>
    <w:p w14:paraId="170F3200" w14:textId="683190D6" w:rsidR="0023672F" w:rsidRDefault="0023672F" w:rsidP="0023672F">
      <w:pPr>
        <w:rPr>
          <w:lang w:val="en-US"/>
        </w:rPr>
      </w:pPr>
      <w:r w:rsidRPr="009D2899">
        <w:rPr>
          <w:b/>
          <w:u w:val="single"/>
          <w:lang w:val="en-US" w:eastAsia="zh-CN"/>
        </w:rPr>
        <w:t xml:space="preserve">Proposal </w:t>
      </w:r>
      <w:r>
        <w:rPr>
          <w:b/>
          <w:u w:val="single"/>
          <w:lang w:val="en-US" w:eastAsia="zh-CN"/>
        </w:rPr>
        <w:t>4</w:t>
      </w:r>
      <w:r w:rsidRPr="005518A5">
        <w:rPr>
          <w:b/>
          <w:lang w:val="en-US" w:eastAsia="zh-CN"/>
        </w:rPr>
        <w:t>:</w:t>
      </w:r>
      <w:r>
        <w:rPr>
          <w:b/>
          <w:lang w:val="en-US" w:eastAsia="zh-CN"/>
        </w:rPr>
        <w:t xml:space="preserve"> </w:t>
      </w:r>
      <w:r w:rsidRPr="00975E83">
        <w:rPr>
          <w:lang w:val="en-US" w:eastAsia="zh-CN"/>
        </w:rPr>
        <w:t>I</w:t>
      </w:r>
      <w:r>
        <w:rPr>
          <w:lang w:val="en-US"/>
        </w:rPr>
        <w:t xml:space="preserve">f NR supports bandwidth mismatch between PBCH and SS as the current agreements, </w:t>
      </w:r>
      <w:r w:rsidR="000E0C49">
        <w:rPr>
          <w:lang w:val="en-US"/>
        </w:rPr>
        <w:t>DMRS is FDMed with PBCH</w:t>
      </w:r>
      <w:r>
        <w:rPr>
          <w:lang w:val="en-US"/>
        </w:rPr>
        <w:t>. Furthermore, no DMRS is introduced within SSS bandwidth.</w:t>
      </w:r>
    </w:p>
    <w:p w14:paraId="122146B2" w14:textId="1AD3AE60" w:rsidR="004D327B" w:rsidRPr="007A1856" w:rsidRDefault="00FE3612"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4D327B" w:rsidRPr="008817D4">
        <w:rPr>
          <w:rFonts w:eastAsia="SimSun"/>
          <w:sz w:val="36"/>
          <w:lang w:eastAsia="ja-JP"/>
        </w:rPr>
        <w:t>.</w:t>
      </w:r>
      <w:r w:rsidR="004D327B" w:rsidRPr="007A1856">
        <w:rPr>
          <w:rFonts w:eastAsia="SimSun"/>
          <w:sz w:val="36"/>
          <w:lang w:eastAsia="ja-JP"/>
        </w:rPr>
        <w:t xml:space="preserve"> </w:t>
      </w:r>
      <w:r w:rsidR="004D327B" w:rsidRPr="007A1856">
        <w:rPr>
          <w:rFonts w:eastAsia="SimSun"/>
          <w:sz w:val="36"/>
          <w:lang w:eastAsia="ja-JP"/>
        </w:rPr>
        <w:tab/>
        <w:t xml:space="preserve">References </w:t>
      </w:r>
    </w:p>
    <w:p w14:paraId="75FBAEFE" w14:textId="6F78AF9B" w:rsidR="00932AFB" w:rsidRDefault="00906663" w:rsidP="00906663">
      <w:pPr>
        <w:numPr>
          <w:ilvl w:val="0"/>
          <w:numId w:val="10"/>
        </w:numPr>
        <w:overflowPunct w:val="0"/>
        <w:autoSpaceDE w:val="0"/>
        <w:autoSpaceDN w:val="0"/>
        <w:adjustRightInd w:val="0"/>
        <w:textAlignment w:val="baseline"/>
      </w:pPr>
      <w:bookmarkStart w:id="7" w:name="_Ref462859139"/>
      <w:bookmarkStart w:id="8" w:name="_Ref471479747"/>
      <w:bookmarkStart w:id="9" w:name="_Ref462921140"/>
      <w:bookmarkStart w:id="10" w:name="_Ref471480026"/>
      <w:bookmarkStart w:id="11" w:name="_Ref446333722"/>
      <w:bookmarkStart w:id="12" w:name="_Ref458067121"/>
      <w:bookmarkStart w:id="13" w:name="_Ref458093355"/>
      <w:bookmarkStart w:id="14" w:name="_Ref462751848"/>
      <w:bookmarkStart w:id="15" w:name="_Ref462859211"/>
      <w:bookmarkStart w:id="16" w:name="_Ref470450042"/>
      <w:bookmarkEnd w:id="0"/>
      <w:r w:rsidRPr="00906663">
        <w:rPr>
          <w:rFonts w:eastAsia="MS Mincho"/>
          <w:lang w:val="en-US" w:eastAsia="ja-JP"/>
        </w:rPr>
        <w:t>R1-1708611</w:t>
      </w:r>
      <w:r w:rsidR="00932AFB" w:rsidRPr="001805E4">
        <w:rPr>
          <w:rFonts w:eastAsia="MS Mincho"/>
          <w:lang w:val="en-US" w:eastAsia="ja-JP"/>
        </w:rPr>
        <w:t>, “</w:t>
      </w:r>
      <w:r w:rsidRPr="00906663">
        <w:rPr>
          <w:rFonts w:eastAsia="MS Mincho"/>
          <w:lang w:val="en-US" w:eastAsia="ja-JP"/>
        </w:rPr>
        <w:t>Common control resource set signaling in MIB</w:t>
      </w:r>
      <w:r w:rsidR="00387CA6">
        <w:rPr>
          <w:rFonts w:eastAsia="MS Mincho"/>
          <w:lang w:val="en-US" w:eastAsia="ja-JP"/>
        </w:rPr>
        <w:t>,</w:t>
      </w:r>
      <w:r w:rsidR="00932AFB" w:rsidRPr="00AD63B0">
        <w:t>”</w:t>
      </w:r>
      <w:r w:rsidR="00932AFB" w:rsidRPr="001805E4">
        <w:rPr>
          <w:rFonts w:eastAsia="MS Mincho" w:hint="eastAsia"/>
          <w:lang w:eastAsia="ja-JP"/>
        </w:rPr>
        <w:t xml:space="preserve"> </w:t>
      </w:r>
      <w:r w:rsidR="00932AFB" w:rsidRPr="001805E4">
        <w:rPr>
          <w:rFonts w:eastAsia="MS Mincho"/>
          <w:lang w:val="en-US" w:eastAsia="ja-JP"/>
        </w:rPr>
        <w:t>Qualcomm</w:t>
      </w:r>
      <w:bookmarkEnd w:id="7"/>
      <w:r w:rsidR="00932AFB" w:rsidRPr="001805E4">
        <w:rPr>
          <w:rFonts w:eastAsia="MS Mincho"/>
          <w:lang w:val="en-US" w:eastAsia="ja-JP"/>
        </w:rPr>
        <w:t xml:space="preserve"> </w:t>
      </w:r>
      <w:r w:rsidR="00932AFB" w:rsidRPr="00AD63B0">
        <w:t>Incorporated</w:t>
      </w:r>
      <w:bookmarkEnd w:id="8"/>
      <w:bookmarkEnd w:id="9"/>
    </w:p>
    <w:p w14:paraId="6ECFEDFA" w14:textId="358E024D" w:rsidR="00387CA6" w:rsidRDefault="00AD2954" w:rsidP="00EE6B35">
      <w:pPr>
        <w:numPr>
          <w:ilvl w:val="0"/>
          <w:numId w:val="10"/>
        </w:numPr>
        <w:overflowPunct w:val="0"/>
        <w:autoSpaceDE w:val="0"/>
        <w:autoSpaceDN w:val="0"/>
        <w:adjustRightInd w:val="0"/>
        <w:textAlignment w:val="baseline"/>
      </w:pPr>
      <w:bookmarkStart w:id="17" w:name="_Ref478119313"/>
      <w:bookmarkEnd w:id="10"/>
      <w:bookmarkEnd w:id="11"/>
      <w:bookmarkEnd w:id="12"/>
      <w:bookmarkEnd w:id="13"/>
      <w:bookmarkEnd w:id="14"/>
      <w:bookmarkEnd w:id="15"/>
      <w:bookmarkEnd w:id="16"/>
      <w:r w:rsidRPr="00AD2954">
        <w:t>R1-170856</w:t>
      </w:r>
      <w:bookmarkStart w:id="18" w:name="_GoBack"/>
      <w:bookmarkEnd w:id="18"/>
      <w:r w:rsidRPr="00AD2954">
        <w:t>9</w:t>
      </w:r>
      <w:r w:rsidR="00E33FAC">
        <w:t>, "SS composition and SS time index indication consideration</w:t>
      </w:r>
      <w:r w:rsidR="00387CA6">
        <w:t xml:space="preserve">,” </w:t>
      </w:r>
      <w:r w:rsidR="00387CA6" w:rsidRPr="00AD2954">
        <w:rPr>
          <w:rFonts w:eastAsia="MS Mincho"/>
          <w:lang w:val="en-US" w:eastAsia="ja-JP"/>
        </w:rPr>
        <w:t xml:space="preserve">Qualcomm </w:t>
      </w:r>
      <w:r w:rsidR="00387CA6" w:rsidRPr="00AD63B0">
        <w:t>Incorporated</w:t>
      </w:r>
      <w:bookmarkEnd w:id="17"/>
    </w:p>
    <w:sectPr w:rsidR="00387CA6"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3558F" w14:textId="77777777" w:rsidR="00112EE4" w:rsidRDefault="00112EE4">
      <w:r>
        <w:separator/>
      </w:r>
    </w:p>
  </w:endnote>
  <w:endnote w:type="continuationSeparator" w:id="0">
    <w:p w14:paraId="63BB5253" w14:textId="77777777" w:rsidR="00112EE4" w:rsidRDefault="00112EE4">
      <w:r>
        <w:continuationSeparator/>
      </w:r>
    </w:p>
  </w:endnote>
  <w:endnote w:type="continuationNotice" w:id="1">
    <w:p w14:paraId="7BCD2954" w14:textId="77777777" w:rsidR="00112EE4" w:rsidRDefault="00112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510659853"/>
      <w:docPartObj>
        <w:docPartGallery w:val="Page Numbers (Bottom of Page)"/>
        <w:docPartUnique/>
      </w:docPartObj>
    </w:sdtPr>
    <w:sdtEndPr>
      <w:rPr>
        <w:noProof/>
      </w:rPr>
    </w:sdtEndPr>
    <w:sdtContent>
      <w:p w14:paraId="3B4B5B9B" w14:textId="4071CA6B" w:rsidR="00090EB4" w:rsidRDefault="00090EB4">
        <w:pPr>
          <w:pStyle w:val="Footer"/>
        </w:pPr>
        <w:r>
          <w:rPr>
            <w:noProof w:val="0"/>
          </w:rPr>
          <w:fldChar w:fldCharType="begin"/>
        </w:r>
        <w:r>
          <w:instrText xml:space="preserve"> PAGE   \* MERGEFORMAT </w:instrText>
        </w:r>
        <w:r>
          <w:rPr>
            <w:noProof w:val="0"/>
          </w:rPr>
          <w:fldChar w:fldCharType="separate"/>
        </w:r>
        <w:r w:rsidR="0033534C">
          <w:t>4</w:t>
        </w:r>
        <w:r>
          <w:fldChar w:fldCharType="end"/>
        </w:r>
      </w:p>
    </w:sdtContent>
  </w:sdt>
  <w:p w14:paraId="7201362F" w14:textId="28411F50" w:rsidR="00B36CC8" w:rsidRDefault="00B36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A221D" w14:textId="77777777" w:rsidR="00112EE4" w:rsidRDefault="00112EE4">
      <w:r>
        <w:separator/>
      </w:r>
    </w:p>
  </w:footnote>
  <w:footnote w:type="continuationSeparator" w:id="0">
    <w:p w14:paraId="790836E1" w14:textId="77777777" w:rsidR="00112EE4" w:rsidRDefault="00112EE4">
      <w:r>
        <w:continuationSeparator/>
      </w:r>
    </w:p>
  </w:footnote>
  <w:footnote w:type="continuationNotice" w:id="1">
    <w:p w14:paraId="4D197F7C" w14:textId="77777777" w:rsidR="00112EE4" w:rsidRDefault="00112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1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8"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B3A780A"/>
    <w:multiLevelType w:val="hybridMultilevel"/>
    <w:tmpl w:val="70C4A904"/>
    <w:lvl w:ilvl="0" w:tplc="732E3646">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4"/>
  </w:num>
  <w:num w:numId="4">
    <w:abstractNumId w:val="35"/>
  </w:num>
  <w:num w:numId="5">
    <w:abstractNumId w:val="24"/>
  </w:num>
  <w:num w:numId="6">
    <w:abstractNumId w:val="2"/>
  </w:num>
  <w:num w:numId="7">
    <w:abstractNumId w:val="6"/>
  </w:num>
  <w:num w:numId="8">
    <w:abstractNumId w:val="17"/>
  </w:num>
  <w:num w:numId="9">
    <w:abstractNumId w:val="20"/>
  </w:num>
  <w:num w:numId="10">
    <w:abstractNumId w:val="9"/>
  </w:num>
  <w:num w:numId="11">
    <w:abstractNumId w:val="8"/>
  </w:num>
  <w:num w:numId="12">
    <w:abstractNumId w:val="7"/>
  </w:num>
  <w:num w:numId="13">
    <w:abstractNumId w:val="11"/>
  </w:num>
  <w:num w:numId="14">
    <w:abstractNumId w:val="12"/>
  </w:num>
  <w:num w:numId="15">
    <w:abstractNumId w:val="30"/>
  </w:num>
  <w:num w:numId="16">
    <w:abstractNumId w:val="18"/>
  </w:num>
  <w:num w:numId="17">
    <w:abstractNumId w:val="3"/>
  </w:num>
  <w:num w:numId="18">
    <w:abstractNumId w:val="26"/>
  </w:num>
  <w:num w:numId="19">
    <w:abstractNumId w:val="31"/>
  </w:num>
  <w:num w:numId="20">
    <w:abstractNumId w:val="32"/>
  </w:num>
  <w:num w:numId="21">
    <w:abstractNumId w:val="29"/>
  </w:num>
  <w:num w:numId="22">
    <w:abstractNumId w:val="14"/>
  </w:num>
  <w:num w:numId="23">
    <w:abstractNumId w:val="33"/>
  </w:num>
  <w:num w:numId="24">
    <w:abstractNumId w:val="22"/>
  </w:num>
  <w:num w:numId="25">
    <w:abstractNumId w:val="1"/>
  </w:num>
  <w:num w:numId="26">
    <w:abstractNumId w:val="15"/>
  </w:num>
  <w:num w:numId="27">
    <w:abstractNumId w:val="27"/>
  </w:num>
  <w:num w:numId="28">
    <w:abstractNumId w:val="28"/>
  </w:num>
  <w:num w:numId="29">
    <w:abstractNumId w:val="21"/>
  </w:num>
  <w:num w:numId="30">
    <w:abstractNumId w:val="10"/>
  </w:num>
  <w:num w:numId="31">
    <w:abstractNumId w:val="25"/>
  </w:num>
  <w:num w:numId="32">
    <w:abstractNumId w:val="19"/>
  </w:num>
  <w:num w:numId="33">
    <w:abstractNumId w:val="13"/>
  </w:num>
  <w:num w:numId="34">
    <w:abstractNumId w:val="23"/>
  </w:num>
  <w:num w:numId="3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016"/>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1757"/>
    <w:rsid w:val="000224E8"/>
    <w:rsid w:val="000229DA"/>
    <w:rsid w:val="000229FB"/>
    <w:rsid w:val="00022E4A"/>
    <w:rsid w:val="00022E97"/>
    <w:rsid w:val="0002345E"/>
    <w:rsid w:val="00023E5C"/>
    <w:rsid w:val="0002505C"/>
    <w:rsid w:val="00025434"/>
    <w:rsid w:val="00026431"/>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1BCF"/>
    <w:rsid w:val="00042122"/>
    <w:rsid w:val="000421C4"/>
    <w:rsid w:val="0004220B"/>
    <w:rsid w:val="00042BE6"/>
    <w:rsid w:val="00043833"/>
    <w:rsid w:val="000439C0"/>
    <w:rsid w:val="00043BC5"/>
    <w:rsid w:val="00043F79"/>
    <w:rsid w:val="000442D9"/>
    <w:rsid w:val="00044562"/>
    <w:rsid w:val="00044BAA"/>
    <w:rsid w:val="00044C25"/>
    <w:rsid w:val="0004500C"/>
    <w:rsid w:val="000455AF"/>
    <w:rsid w:val="000460B7"/>
    <w:rsid w:val="000468A5"/>
    <w:rsid w:val="00046FF2"/>
    <w:rsid w:val="00047A86"/>
    <w:rsid w:val="00047D2B"/>
    <w:rsid w:val="000502EF"/>
    <w:rsid w:val="0005048B"/>
    <w:rsid w:val="0005055D"/>
    <w:rsid w:val="00050969"/>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484F"/>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F0C"/>
    <w:rsid w:val="00085DF3"/>
    <w:rsid w:val="00086B96"/>
    <w:rsid w:val="000873B9"/>
    <w:rsid w:val="000904F2"/>
    <w:rsid w:val="000908DE"/>
    <w:rsid w:val="00090EB4"/>
    <w:rsid w:val="000910D3"/>
    <w:rsid w:val="00091874"/>
    <w:rsid w:val="00091D20"/>
    <w:rsid w:val="00093E22"/>
    <w:rsid w:val="00094829"/>
    <w:rsid w:val="0009762D"/>
    <w:rsid w:val="00097964"/>
    <w:rsid w:val="00097992"/>
    <w:rsid w:val="00097FD1"/>
    <w:rsid w:val="000A0268"/>
    <w:rsid w:val="000A0C11"/>
    <w:rsid w:val="000A1012"/>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109A"/>
    <w:rsid w:val="000D1991"/>
    <w:rsid w:val="000D1A60"/>
    <w:rsid w:val="000D1B5C"/>
    <w:rsid w:val="000D2D17"/>
    <w:rsid w:val="000D3B23"/>
    <w:rsid w:val="000D468C"/>
    <w:rsid w:val="000E02F8"/>
    <w:rsid w:val="000E07AC"/>
    <w:rsid w:val="000E0C49"/>
    <w:rsid w:val="000E1353"/>
    <w:rsid w:val="000E13C9"/>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03F"/>
    <w:rsid w:val="0010386F"/>
    <w:rsid w:val="0010434F"/>
    <w:rsid w:val="001044E0"/>
    <w:rsid w:val="001053B5"/>
    <w:rsid w:val="00105B93"/>
    <w:rsid w:val="0010634F"/>
    <w:rsid w:val="00107EFF"/>
    <w:rsid w:val="00107FF6"/>
    <w:rsid w:val="00110973"/>
    <w:rsid w:val="00110CE9"/>
    <w:rsid w:val="001119E6"/>
    <w:rsid w:val="00112C1D"/>
    <w:rsid w:val="00112EE4"/>
    <w:rsid w:val="001133CF"/>
    <w:rsid w:val="00113571"/>
    <w:rsid w:val="00114EB0"/>
    <w:rsid w:val="00114EBF"/>
    <w:rsid w:val="00115535"/>
    <w:rsid w:val="00116BF0"/>
    <w:rsid w:val="00117B42"/>
    <w:rsid w:val="00117E84"/>
    <w:rsid w:val="00120092"/>
    <w:rsid w:val="00120183"/>
    <w:rsid w:val="0012056B"/>
    <w:rsid w:val="00120CA5"/>
    <w:rsid w:val="0012105B"/>
    <w:rsid w:val="00121CA2"/>
    <w:rsid w:val="00121F90"/>
    <w:rsid w:val="0012227B"/>
    <w:rsid w:val="00122471"/>
    <w:rsid w:val="001227E7"/>
    <w:rsid w:val="00122930"/>
    <w:rsid w:val="00122A05"/>
    <w:rsid w:val="001254EE"/>
    <w:rsid w:val="001256F0"/>
    <w:rsid w:val="00125A22"/>
    <w:rsid w:val="00126539"/>
    <w:rsid w:val="00126BF7"/>
    <w:rsid w:val="00126C58"/>
    <w:rsid w:val="00127AEB"/>
    <w:rsid w:val="00130402"/>
    <w:rsid w:val="0013072F"/>
    <w:rsid w:val="0013078D"/>
    <w:rsid w:val="0013091C"/>
    <w:rsid w:val="00130C8A"/>
    <w:rsid w:val="00130DE2"/>
    <w:rsid w:val="00130EC3"/>
    <w:rsid w:val="001312D1"/>
    <w:rsid w:val="0013156C"/>
    <w:rsid w:val="00131814"/>
    <w:rsid w:val="00131C65"/>
    <w:rsid w:val="00131EA5"/>
    <w:rsid w:val="0013204A"/>
    <w:rsid w:val="001324AB"/>
    <w:rsid w:val="00132625"/>
    <w:rsid w:val="00135B09"/>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DA8"/>
    <w:rsid w:val="00177ED9"/>
    <w:rsid w:val="0018017B"/>
    <w:rsid w:val="00180355"/>
    <w:rsid w:val="001805E4"/>
    <w:rsid w:val="00180A3E"/>
    <w:rsid w:val="00181069"/>
    <w:rsid w:val="00184281"/>
    <w:rsid w:val="00184548"/>
    <w:rsid w:val="00184B8C"/>
    <w:rsid w:val="00184EF7"/>
    <w:rsid w:val="001860A0"/>
    <w:rsid w:val="00186B3B"/>
    <w:rsid w:val="0019227A"/>
    <w:rsid w:val="00195650"/>
    <w:rsid w:val="00195FA6"/>
    <w:rsid w:val="0019659B"/>
    <w:rsid w:val="001968A1"/>
    <w:rsid w:val="001977C8"/>
    <w:rsid w:val="00197C7B"/>
    <w:rsid w:val="001A1B88"/>
    <w:rsid w:val="001A1F92"/>
    <w:rsid w:val="001A2382"/>
    <w:rsid w:val="001A252A"/>
    <w:rsid w:val="001A34F0"/>
    <w:rsid w:val="001A38C1"/>
    <w:rsid w:val="001A461E"/>
    <w:rsid w:val="001A46D3"/>
    <w:rsid w:val="001A4DA8"/>
    <w:rsid w:val="001A5FFD"/>
    <w:rsid w:val="001A68F4"/>
    <w:rsid w:val="001A6B1C"/>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1E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1842"/>
    <w:rsid w:val="001D1957"/>
    <w:rsid w:val="001D1A96"/>
    <w:rsid w:val="001D1EAA"/>
    <w:rsid w:val="001D2965"/>
    <w:rsid w:val="001D3108"/>
    <w:rsid w:val="001D44C8"/>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127"/>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72F"/>
    <w:rsid w:val="0023683D"/>
    <w:rsid w:val="00236A30"/>
    <w:rsid w:val="002376A3"/>
    <w:rsid w:val="002379A1"/>
    <w:rsid w:val="00237BBB"/>
    <w:rsid w:val="00237FAD"/>
    <w:rsid w:val="0024335F"/>
    <w:rsid w:val="0024362B"/>
    <w:rsid w:val="00243BC1"/>
    <w:rsid w:val="002442BB"/>
    <w:rsid w:val="00244332"/>
    <w:rsid w:val="00244B5C"/>
    <w:rsid w:val="00244DC7"/>
    <w:rsid w:val="00245B23"/>
    <w:rsid w:val="002467C7"/>
    <w:rsid w:val="00246DE8"/>
    <w:rsid w:val="0025022A"/>
    <w:rsid w:val="00250854"/>
    <w:rsid w:val="00251402"/>
    <w:rsid w:val="0025228F"/>
    <w:rsid w:val="0025292A"/>
    <w:rsid w:val="002530BE"/>
    <w:rsid w:val="00253EB4"/>
    <w:rsid w:val="00253FB2"/>
    <w:rsid w:val="00254949"/>
    <w:rsid w:val="00254FC1"/>
    <w:rsid w:val="00257195"/>
    <w:rsid w:val="0025772C"/>
    <w:rsid w:val="002578D8"/>
    <w:rsid w:val="00261065"/>
    <w:rsid w:val="002613A5"/>
    <w:rsid w:val="0026280B"/>
    <w:rsid w:val="002654C7"/>
    <w:rsid w:val="00265A7D"/>
    <w:rsid w:val="00265B22"/>
    <w:rsid w:val="00265FB9"/>
    <w:rsid w:val="00267881"/>
    <w:rsid w:val="00270A19"/>
    <w:rsid w:val="00271DE1"/>
    <w:rsid w:val="002723F2"/>
    <w:rsid w:val="00272414"/>
    <w:rsid w:val="00273499"/>
    <w:rsid w:val="00273821"/>
    <w:rsid w:val="00273B20"/>
    <w:rsid w:val="00273FC1"/>
    <w:rsid w:val="0027415C"/>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685"/>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179C2"/>
    <w:rsid w:val="003205DA"/>
    <w:rsid w:val="00320632"/>
    <w:rsid w:val="0032143F"/>
    <w:rsid w:val="00321599"/>
    <w:rsid w:val="003226A2"/>
    <w:rsid w:val="00322BF9"/>
    <w:rsid w:val="00323042"/>
    <w:rsid w:val="00324000"/>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3FD"/>
    <w:rsid w:val="0033143D"/>
    <w:rsid w:val="003314CB"/>
    <w:rsid w:val="00331D5B"/>
    <w:rsid w:val="00331D74"/>
    <w:rsid w:val="00332B0C"/>
    <w:rsid w:val="00333145"/>
    <w:rsid w:val="00333B90"/>
    <w:rsid w:val="00334763"/>
    <w:rsid w:val="00334BBB"/>
    <w:rsid w:val="0033534C"/>
    <w:rsid w:val="00335FD4"/>
    <w:rsid w:val="00336837"/>
    <w:rsid w:val="00336954"/>
    <w:rsid w:val="003369BB"/>
    <w:rsid w:val="00337161"/>
    <w:rsid w:val="003371C6"/>
    <w:rsid w:val="00337418"/>
    <w:rsid w:val="0033763F"/>
    <w:rsid w:val="003406B4"/>
    <w:rsid w:val="00340FC5"/>
    <w:rsid w:val="003410F1"/>
    <w:rsid w:val="00341115"/>
    <w:rsid w:val="003421F3"/>
    <w:rsid w:val="00342A3B"/>
    <w:rsid w:val="00343595"/>
    <w:rsid w:val="003436A3"/>
    <w:rsid w:val="003452B6"/>
    <w:rsid w:val="00346702"/>
    <w:rsid w:val="0034677C"/>
    <w:rsid w:val="00347361"/>
    <w:rsid w:val="00347564"/>
    <w:rsid w:val="0035052F"/>
    <w:rsid w:val="00351153"/>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4D63"/>
    <w:rsid w:val="00365E96"/>
    <w:rsid w:val="00365EE9"/>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CA6"/>
    <w:rsid w:val="00387EF5"/>
    <w:rsid w:val="00390EDA"/>
    <w:rsid w:val="00391A25"/>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A776D"/>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6E4"/>
    <w:rsid w:val="003C4AF2"/>
    <w:rsid w:val="003C4C53"/>
    <w:rsid w:val="003C5BB0"/>
    <w:rsid w:val="003C6888"/>
    <w:rsid w:val="003C6D1F"/>
    <w:rsid w:val="003C6D51"/>
    <w:rsid w:val="003C7216"/>
    <w:rsid w:val="003D0826"/>
    <w:rsid w:val="003D0F1F"/>
    <w:rsid w:val="003D1661"/>
    <w:rsid w:val="003D17A2"/>
    <w:rsid w:val="003D1A37"/>
    <w:rsid w:val="003D4B4C"/>
    <w:rsid w:val="003D4CBF"/>
    <w:rsid w:val="003D4EFC"/>
    <w:rsid w:val="003D5DCB"/>
    <w:rsid w:val="003D665A"/>
    <w:rsid w:val="003D6692"/>
    <w:rsid w:val="003D6F36"/>
    <w:rsid w:val="003D7D85"/>
    <w:rsid w:val="003E066E"/>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7D5"/>
    <w:rsid w:val="003F2910"/>
    <w:rsid w:val="003F2930"/>
    <w:rsid w:val="003F2A6E"/>
    <w:rsid w:val="003F5304"/>
    <w:rsid w:val="003F5516"/>
    <w:rsid w:val="003F5F6A"/>
    <w:rsid w:val="003F60DE"/>
    <w:rsid w:val="003F61EC"/>
    <w:rsid w:val="003F6A59"/>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42F9"/>
    <w:rsid w:val="00426620"/>
    <w:rsid w:val="0042735E"/>
    <w:rsid w:val="00427BCC"/>
    <w:rsid w:val="004300CD"/>
    <w:rsid w:val="004303A0"/>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DC0"/>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6339"/>
    <w:rsid w:val="0047739E"/>
    <w:rsid w:val="00481649"/>
    <w:rsid w:val="004818D8"/>
    <w:rsid w:val="004818EA"/>
    <w:rsid w:val="004822A4"/>
    <w:rsid w:val="004822F3"/>
    <w:rsid w:val="004831D0"/>
    <w:rsid w:val="00483D3E"/>
    <w:rsid w:val="00483DD0"/>
    <w:rsid w:val="00483ED7"/>
    <w:rsid w:val="004843C4"/>
    <w:rsid w:val="004865D5"/>
    <w:rsid w:val="00486D5B"/>
    <w:rsid w:val="00487A1F"/>
    <w:rsid w:val="004905B3"/>
    <w:rsid w:val="00490CEE"/>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4CD"/>
    <w:rsid w:val="004C4FA4"/>
    <w:rsid w:val="004C5480"/>
    <w:rsid w:val="004C5649"/>
    <w:rsid w:val="004C65ED"/>
    <w:rsid w:val="004C6CE3"/>
    <w:rsid w:val="004C702B"/>
    <w:rsid w:val="004C713F"/>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23F3"/>
    <w:rsid w:val="00522916"/>
    <w:rsid w:val="00522A48"/>
    <w:rsid w:val="005232AC"/>
    <w:rsid w:val="00523775"/>
    <w:rsid w:val="00523857"/>
    <w:rsid w:val="00523B56"/>
    <w:rsid w:val="005242AC"/>
    <w:rsid w:val="00524307"/>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37C0C"/>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86C"/>
    <w:rsid w:val="00573C46"/>
    <w:rsid w:val="00573CE7"/>
    <w:rsid w:val="00573E45"/>
    <w:rsid w:val="0057426E"/>
    <w:rsid w:val="00575C14"/>
    <w:rsid w:val="005761D2"/>
    <w:rsid w:val="00576998"/>
    <w:rsid w:val="00577456"/>
    <w:rsid w:val="00577754"/>
    <w:rsid w:val="00577BB6"/>
    <w:rsid w:val="00580AFD"/>
    <w:rsid w:val="0058102B"/>
    <w:rsid w:val="0058126D"/>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2EB"/>
    <w:rsid w:val="005C398B"/>
    <w:rsid w:val="005C3EA0"/>
    <w:rsid w:val="005C4616"/>
    <w:rsid w:val="005C48DB"/>
    <w:rsid w:val="005C4A86"/>
    <w:rsid w:val="005C7656"/>
    <w:rsid w:val="005D013E"/>
    <w:rsid w:val="005D0520"/>
    <w:rsid w:val="005D1877"/>
    <w:rsid w:val="005D1DAC"/>
    <w:rsid w:val="005D1E01"/>
    <w:rsid w:val="005D2E91"/>
    <w:rsid w:val="005D38FB"/>
    <w:rsid w:val="005D4473"/>
    <w:rsid w:val="005D50BB"/>
    <w:rsid w:val="005D5A2E"/>
    <w:rsid w:val="005D6ADD"/>
    <w:rsid w:val="005E0079"/>
    <w:rsid w:val="005E066C"/>
    <w:rsid w:val="005E0D2B"/>
    <w:rsid w:val="005E1829"/>
    <w:rsid w:val="005E2AF2"/>
    <w:rsid w:val="005E2C44"/>
    <w:rsid w:val="005E300B"/>
    <w:rsid w:val="005E3280"/>
    <w:rsid w:val="005E344F"/>
    <w:rsid w:val="005E35DE"/>
    <w:rsid w:val="005E43EA"/>
    <w:rsid w:val="005E50BD"/>
    <w:rsid w:val="005E5781"/>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FA7"/>
    <w:rsid w:val="00625723"/>
    <w:rsid w:val="0062593C"/>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9A5"/>
    <w:rsid w:val="00677958"/>
    <w:rsid w:val="00680DBF"/>
    <w:rsid w:val="00681497"/>
    <w:rsid w:val="00681942"/>
    <w:rsid w:val="00682B2A"/>
    <w:rsid w:val="00683590"/>
    <w:rsid w:val="00683A98"/>
    <w:rsid w:val="0068422A"/>
    <w:rsid w:val="00684852"/>
    <w:rsid w:val="006853A9"/>
    <w:rsid w:val="00685676"/>
    <w:rsid w:val="00685CB5"/>
    <w:rsid w:val="00686C8C"/>
    <w:rsid w:val="0068764D"/>
    <w:rsid w:val="006906C2"/>
    <w:rsid w:val="00690D77"/>
    <w:rsid w:val="00693451"/>
    <w:rsid w:val="00693A52"/>
    <w:rsid w:val="00694F02"/>
    <w:rsid w:val="00696285"/>
    <w:rsid w:val="00696CCB"/>
    <w:rsid w:val="006A1714"/>
    <w:rsid w:val="006A2F96"/>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6539"/>
    <w:rsid w:val="006C73D1"/>
    <w:rsid w:val="006C76A0"/>
    <w:rsid w:val="006D0082"/>
    <w:rsid w:val="006D0397"/>
    <w:rsid w:val="006D0403"/>
    <w:rsid w:val="006D059C"/>
    <w:rsid w:val="006D0D08"/>
    <w:rsid w:val="006D1E5C"/>
    <w:rsid w:val="006D226B"/>
    <w:rsid w:val="006D2B3A"/>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59A8"/>
    <w:rsid w:val="006E59BA"/>
    <w:rsid w:val="006E604A"/>
    <w:rsid w:val="006E6B63"/>
    <w:rsid w:val="006F1237"/>
    <w:rsid w:val="006F14B7"/>
    <w:rsid w:val="006F1D76"/>
    <w:rsid w:val="006F2236"/>
    <w:rsid w:val="006F285B"/>
    <w:rsid w:val="006F2FA6"/>
    <w:rsid w:val="006F326B"/>
    <w:rsid w:val="006F495F"/>
    <w:rsid w:val="006F49CE"/>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39C2"/>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4523"/>
    <w:rsid w:val="007464A1"/>
    <w:rsid w:val="00746768"/>
    <w:rsid w:val="007468E1"/>
    <w:rsid w:val="00746DAC"/>
    <w:rsid w:val="00746F66"/>
    <w:rsid w:val="007503B9"/>
    <w:rsid w:val="007506E8"/>
    <w:rsid w:val="007517B6"/>
    <w:rsid w:val="00751E8D"/>
    <w:rsid w:val="0075286F"/>
    <w:rsid w:val="00752E6D"/>
    <w:rsid w:val="00753186"/>
    <w:rsid w:val="00753285"/>
    <w:rsid w:val="00753446"/>
    <w:rsid w:val="0075358A"/>
    <w:rsid w:val="007538D1"/>
    <w:rsid w:val="00753A02"/>
    <w:rsid w:val="0075402D"/>
    <w:rsid w:val="00754097"/>
    <w:rsid w:val="007543D9"/>
    <w:rsid w:val="007556C8"/>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12F"/>
    <w:rsid w:val="007B3DFE"/>
    <w:rsid w:val="007B409D"/>
    <w:rsid w:val="007B43A5"/>
    <w:rsid w:val="007B446A"/>
    <w:rsid w:val="007B512A"/>
    <w:rsid w:val="007B5967"/>
    <w:rsid w:val="007B5C47"/>
    <w:rsid w:val="007B6720"/>
    <w:rsid w:val="007B744C"/>
    <w:rsid w:val="007B74F1"/>
    <w:rsid w:val="007B7EBC"/>
    <w:rsid w:val="007C0A9C"/>
    <w:rsid w:val="007C1493"/>
    <w:rsid w:val="007C1ABF"/>
    <w:rsid w:val="007C2E02"/>
    <w:rsid w:val="007C3197"/>
    <w:rsid w:val="007C31E4"/>
    <w:rsid w:val="007C377C"/>
    <w:rsid w:val="007C3D26"/>
    <w:rsid w:val="007C4168"/>
    <w:rsid w:val="007C4F48"/>
    <w:rsid w:val="007C50C2"/>
    <w:rsid w:val="007C51D4"/>
    <w:rsid w:val="007C6A13"/>
    <w:rsid w:val="007C6B55"/>
    <w:rsid w:val="007C7B97"/>
    <w:rsid w:val="007D0F5F"/>
    <w:rsid w:val="007D10FB"/>
    <w:rsid w:val="007D180C"/>
    <w:rsid w:val="007D1D7F"/>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801B02"/>
    <w:rsid w:val="00804A7D"/>
    <w:rsid w:val="00804BCA"/>
    <w:rsid w:val="0080653B"/>
    <w:rsid w:val="00806A27"/>
    <w:rsid w:val="00807633"/>
    <w:rsid w:val="0080777D"/>
    <w:rsid w:val="00807E69"/>
    <w:rsid w:val="00811EB2"/>
    <w:rsid w:val="00813A62"/>
    <w:rsid w:val="00814156"/>
    <w:rsid w:val="008154FB"/>
    <w:rsid w:val="008156A5"/>
    <w:rsid w:val="008160D7"/>
    <w:rsid w:val="00816192"/>
    <w:rsid w:val="0081761E"/>
    <w:rsid w:val="0082124C"/>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B67"/>
    <w:rsid w:val="0084422A"/>
    <w:rsid w:val="00844D9D"/>
    <w:rsid w:val="008452A7"/>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79C0"/>
    <w:rsid w:val="0086068C"/>
    <w:rsid w:val="0086122E"/>
    <w:rsid w:val="00861746"/>
    <w:rsid w:val="00861903"/>
    <w:rsid w:val="00861DD9"/>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2CB"/>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0FC"/>
    <w:rsid w:val="008A0411"/>
    <w:rsid w:val="008A07B6"/>
    <w:rsid w:val="008A26F2"/>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1EDB"/>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E4C"/>
    <w:rsid w:val="00910004"/>
    <w:rsid w:val="00910136"/>
    <w:rsid w:val="009118A8"/>
    <w:rsid w:val="00911EF0"/>
    <w:rsid w:val="0091225A"/>
    <w:rsid w:val="0091229C"/>
    <w:rsid w:val="00916611"/>
    <w:rsid w:val="00916923"/>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423"/>
    <w:rsid w:val="0093757B"/>
    <w:rsid w:val="00937F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6F8"/>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2B5F"/>
    <w:rsid w:val="009730B0"/>
    <w:rsid w:val="00973209"/>
    <w:rsid w:val="009734E9"/>
    <w:rsid w:val="00974045"/>
    <w:rsid w:val="0097454C"/>
    <w:rsid w:val="00974677"/>
    <w:rsid w:val="00974794"/>
    <w:rsid w:val="009749F3"/>
    <w:rsid w:val="00974E19"/>
    <w:rsid w:val="00974FA3"/>
    <w:rsid w:val="00975E6F"/>
    <w:rsid w:val="00975E83"/>
    <w:rsid w:val="0098003A"/>
    <w:rsid w:val="00980067"/>
    <w:rsid w:val="00981A68"/>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5D39"/>
    <w:rsid w:val="009B67C6"/>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580E"/>
    <w:rsid w:val="009E65A1"/>
    <w:rsid w:val="009E66F7"/>
    <w:rsid w:val="009E6BC6"/>
    <w:rsid w:val="009E6DC2"/>
    <w:rsid w:val="009E7377"/>
    <w:rsid w:val="009E79AF"/>
    <w:rsid w:val="009F0F97"/>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ACA"/>
    <w:rsid w:val="00A07C43"/>
    <w:rsid w:val="00A100F1"/>
    <w:rsid w:val="00A10593"/>
    <w:rsid w:val="00A10749"/>
    <w:rsid w:val="00A11DA6"/>
    <w:rsid w:val="00A12EC0"/>
    <w:rsid w:val="00A13A7A"/>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4FA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BAA"/>
    <w:rsid w:val="00A52FED"/>
    <w:rsid w:val="00A5356E"/>
    <w:rsid w:val="00A538CA"/>
    <w:rsid w:val="00A53F50"/>
    <w:rsid w:val="00A5447D"/>
    <w:rsid w:val="00A55128"/>
    <w:rsid w:val="00A55152"/>
    <w:rsid w:val="00A55835"/>
    <w:rsid w:val="00A55D01"/>
    <w:rsid w:val="00A570EF"/>
    <w:rsid w:val="00A6132E"/>
    <w:rsid w:val="00A61D78"/>
    <w:rsid w:val="00A627BE"/>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AF1"/>
    <w:rsid w:val="00A77E44"/>
    <w:rsid w:val="00A802AD"/>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5E66"/>
    <w:rsid w:val="00A966E1"/>
    <w:rsid w:val="00A96B2B"/>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7EF"/>
    <w:rsid w:val="00AB7423"/>
    <w:rsid w:val="00AC0545"/>
    <w:rsid w:val="00AC2B26"/>
    <w:rsid w:val="00AC32AC"/>
    <w:rsid w:val="00AC3821"/>
    <w:rsid w:val="00AC4067"/>
    <w:rsid w:val="00AC4FF5"/>
    <w:rsid w:val="00AC504C"/>
    <w:rsid w:val="00AC57E2"/>
    <w:rsid w:val="00AC6137"/>
    <w:rsid w:val="00AC6156"/>
    <w:rsid w:val="00AC6556"/>
    <w:rsid w:val="00AD0483"/>
    <w:rsid w:val="00AD0624"/>
    <w:rsid w:val="00AD0BA2"/>
    <w:rsid w:val="00AD1024"/>
    <w:rsid w:val="00AD1841"/>
    <w:rsid w:val="00AD2954"/>
    <w:rsid w:val="00AD3119"/>
    <w:rsid w:val="00AD3B6A"/>
    <w:rsid w:val="00AD482F"/>
    <w:rsid w:val="00AD52E3"/>
    <w:rsid w:val="00AD530D"/>
    <w:rsid w:val="00AD5A94"/>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1DAB"/>
    <w:rsid w:val="00AF3473"/>
    <w:rsid w:val="00AF3B67"/>
    <w:rsid w:val="00AF45CD"/>
    <w:rsid w:val="00AF4621"/>
    <w:rsid w:val="00AF4725"/>
    <w:rsid w:val="00AF4A07"/>
    <w:rsid w:val="00AF4E18"/>
    <w:rsid w:val="00AF4FEF"/>
    <w:rsid w:val="00AF51D8"/>
    <w:rsid w:val="00AF634C"/>
    <w:rsid w:val="00AF7515"/>
    <w:rsid w:val="00B00341"/>
    <w:rsid w:val="00B010E3"/>
    <w:rsid w:val="00B017F3"/>
    <w:rsid w:val="00B02D48"/>
    <w:rsid w:val="00B036A0"/>
    <w:rsid w:val="00B039EC"/>
    <w:rsid w:val="00B04646"/>
    <w:rsid w:val="00B05422"/>
    <w:rsid w:val="00B05534"/>
    <w:rsid w:val="00B05999"/>
    <w:rsid w:val="00B075E1"/>
    <w:rsid w:val="00B07ABB"/>
    <w:rsid w:val="00B07FFB"/>
    <w:rsid w:val="00B119D3"/>
    <w:rsid w:val="00B11C6A"/>
    <w:rsid w:val="00B12191"/>
    <w:rsid w:val="00B12812"/>
    <w:rsid w:val="00B13226"/>
    <w:rsid w:val="00B134CB"/>
    <w:rsid w:val="00B13CBD"/>
    <w:rsid w:val="00B14025"/>
    <w:rsid w:val="00B140D0"/>
    <w:rsid w:val="00B140DB"/>
    <w:rsid w:val="00B151A7"/>
    <w:rsid w:val="00B15481"/>
    <w:rsid w:val="00B1575D"/>
    <w:rsid w:val="00B15ABB"/>
    <w:rsid w:val="00B15B9E"/>
    <w:rsid w:val="00B16A7A"/>
    <w:rsid w:val="00B16FD7"/>
    <w:rsid w:val="00B174FB"/>
    <w:rsid w:val="00B17539"/>
    <w:rsid w:val="00B178FE"/>
    <w:rsid w:val="00B17FD1"/>
    <w:rsid w:val="00B205F9"/>
    <w:rsid w:val="00B20839"/>
    <w:rsid w:val="00B21279"/>
    <w:rsid w:val="00B218F6"/>
    <w:rsid w:val="00B21E5B"/>
    <w:rsid w:val="00B22CB0"/>
    <w:rsid w:val="00B2333A"/>
    <w:rsid w:val="00B235F4"/>
    <w:rsid w:val="00B258CE"/>
    <w:rsid w:val="00B26195"/>
    <w:rsid w:val="00B26DFB"/>
    <w:rsid w:val="00B27C79"/>
    <w:rsid w:val="00B27F94"/>
    <w:rsid w:val="00B3047A"/>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7F0"/>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12C"/>
    <w:rsid w:val="00B84852"/>
    <w:rsid w:val="00B86576"/>
    <w:rsid w:val="00B87873"/>
    <w:rsid w:val="00B90B30"/>
    <w:rsid w:val="00B90FD9"/>
    <w:rsid w:val="00B928A2"/>
    <w:rsid w:val="00B93489"/>
    <w:rsid w:val="00B93B3A"/>
    <w:rsid w:val="00B93D8B"/>
    <w:rsid w:val="00B95724"/>
    <w:rsid w:val="00B95D06"/>
    <w:rsid w:val="00B95E52"/>
    <w:rsid w:val="00B963DC"/>
    <w:rsid w:val="00B96C00"/>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3F3"/>
    <w:rsid w:val="00BA6D64"/>
    <w:rsid w:val="00BA7518"/>
    <w:rsid w:val="00BB36F1"/>
    <w:rsid w:val="00BB3825"/>
    <w:rsid w:val="00BB399B"/>
    <w:rsid w:val="00BB4CBA"/>
    <w:rsid w:val="00BB5613"/>
    <w:rsid w:val="00BB6430"/>
    <w:rsid w:val="00BB6A53"/>
    <w:rsid w:val="00BB6B31"/>
    <w:rsid w:val="00BB7A83"/>
    <w:rsid w:val="00BB7DC1"/>
    <w:rsid w:val="00BC15A4"/>
    <w:rsid w:val="00BC1720"/>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6FB"/>
    <w:rsid w:val="00BD47F5"/>
    <w:rsid w:val="00BD4BAB"/>
    <w:rsid w:val="00BD51B4"/>
    <w:rsid w:val="00BD5AE8"/>
    <w:rsid w:val="00BD5E3C"/>
    <w:rsid w:val="00BD64F8"/>
    <w:rsid w:val="00BE0FD3"/>
    <w:rsid w:val="00BE1993"/>
    <w:rsid w:val="00BE2DAB"/>
    <w:rsid w:val="00BE3BE3"/>
    <w:rsid w:val="00BE4185"/>
    <w:rsid w:val="00BE41C9"/>
    <w:rsid w:val="00BE4CB3"/>
    <w:rsid w:val="00BE50CD"/>
    <w:rsid w:val="00BE52BB"/>
    <w:rsid w:val="00BE561D"/>
    <w:rsid w:val="00BE58DB"/>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8D6"/>
    <w:rsid w:val="00BF6172"/>
    <w:rsid w:val="00BF639F"/>
    <w:rsid w:val="00BF70E4"/>
    <w:rsid w:val="00BF7F4B"/>
    <w:rsid w:val="00C0058C"/>
    <w:rsid w:val="00C020C7"/>
    <w:rsid w:val="00C026D5"/>
    <w:rsid w:val="00C03039"/>
    <w:rsid w:val="00C033CC"/>
    <w:rsid w:val="00C04139"/>
    <w:rsid w:val="00C042AF"/>
    <w:rsid w:val="00C04835"/>
    <w:rsid w:val="00C06126"/>
    <w:rsid w:val="00C06640"/>
    <w:rsid w:val="00C06C41"/>
    <w:rsid w:val="00C072C0"/>
    <w:rsid w:val="00C07346"/>
    <w:rsid w:val="00C11121"/>
    <w:rsid w:val="00C11220"/>
    <w:rsid w:val="00C11488"/>
    <w:rsid w:val="00C11712"/>
    <w:rsid w:val="00C117B2"/>
    <w:rsid w:val="00C138D6"/>
    <w:rsid w:val="00C14D56"/>
    <w:rsid w:val="00C15171"/>
    <w:rsid w:val="00C15EA3"/>
    <w:rsid w:val="00C168C6"/>
    <w:rsid w:val="00C16A56"/>
    <w:rsid w:val="00C17D9F"/>
    <w:rsid w:val="00C20182"/>
    <w:rsid w:val="00C20782"/>
    <w:rsid w:val="00C20F4E"/>
    <w:rsid w:val="00C2190F"/>
    <w:rsid w:val="00C227C4"/>
    <w:rsid w:val="00C23B1D"/>
    <w:rsid w:val="00C23C95"/>
    <w:rsid w:val="00C23F19"/>
    <w:rsid w:val="00C2412B"/>
    <w:rsid w:val="00C2448E"/>
    <w:rsid w:val="00C24C2C"/>
    <w:rsid w:val="00C24E1D"/>
    <w:rsid w:val="00C25486"/>
    <w:rsid w:val="00C25948"/>
    <w:rsid w:val="00C25D27"/>
    <w:rsid w:val="00C26470"/>
    <w:rsid w:val="00C2672A"/>
    <w:rsid w:val="00C2700C"/>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D04"/>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0DC7"/>
    <w:rsid w:val="00C9112D"/>
    <w:rsid w:val="00C9170E"/>
    <w:rsid w:val="00C92086"/>
    <w:rsid w:val="00C92420"/>
    <w:rsid w:val="00C92472"/>
    <w:rsid w:val="00C93080"/>
    <w:rsid w:val="00C935ED"/>
    <w:rsid w:val="00C943D0"/>
    <w:rsid w:val="00C947E7"/>
    <w:rsid w:val="00C950C5"/>
    <w:rsid w:val="00C95667"/>
    <w:rsid w:val="00C95738"/>
    <w:rsid w:val="00C95849"/>
    <w:rsid w:val="00C95985"/>
    <w:rsid w:val="00C95DEA"/>
    <w:rsid w:val="00C95E7A"/>
    <w:rsid w:val="00C9666D"/>
    <w:rsid w:val="00C97877"/>
    <w:rsid w:val="00CA011E"/>
    <w:rsid w:val="00CA10DC"/>
    <w:rsid w:val="00CA115B"/>
    <w:rsid w:val="00CA122B"/>
    <w:rsid w:val="00CA1706"/>
    <w:rsid w:val="00CA1894"/>
    <w:rsid w:val="00CA18DA"/>
    <w:rsid w:val="00CA1F55"/>
    <w:rsid w:val="00CA1FCD"/>
    <w:rsid w:val="00CA24C4"/>
    <w:rsid w:val="00CA2621"/>
    <w:rsid w:val="00CA2E92"/>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1A92"/>
    <w:rsid w:val="00CD1F55"/>
    <w:rsid w:val="00CD23EA"/>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3CA5"/>
    <w:rsid w:val="00CE4661"/>
    <w:rsid w:val="00CE46BA"/>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C93"/>
    <w:rsid w:val="00D17D34"/>
    <w:rsid w:val="00D17DCE"/>
    <w:rsid w:val="00D20682"/>
    <w:rsid w:val="00D20A32"/>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0CA8"/>
    <w:rsid w:val="00D41335"/>
    <w:rsid w:val="00D41368"/>
    <w:rsid w:val="00D413F6"/>
    <w:rsid w:val="00D414D6"/>
    <w:rsid w:val="00D41622"/>
    <w:rsid w:val="00D442C3"/>
    <w:rsid w:val="00D44952"/>
    <w:rsid w:val="00D44D76"/>
    <w:rsid w:val="00D47B5E"/>
    <w:rsid w:val="00D500FB"/>
    <w:rsid w:val="00D504D2"/>
    <w:rsid w:val="00D507C5"/>
    <w:rsid w:val="00D50E90"/>
    <w:rsid w:val="00D5158F"/>
    <w:rsid w:val="00D51DA3"/>
    <w:rsid w:val="00D5234E"/>
    <w:rsid w:val="00D52DEF"/>
    <w:rsid w:val="00D55157"/>
    <w:rsid w:val="00D56017"/>
    <w:rsid w:val="00D575BD"/>
    <w:rsid w:val="00D60117"/>
    <w:rsid w:val="00D60DA5"/>
    <w:rsid w:val="00D61CFF"/>
    <w:rsid w:val="00D61DC2"/>
    <w:rsid w:val="00D61E64"/>
    <w:rsid w:val="00D6360C"/>
    <w:rsid w:val="00D63894"/>
    <w:rsid w:val="00D642CA"/>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1C73"/>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62"/>
    <w:rsid w:val="00E07967"/>
    <w:rsid w:val="00E10009"/>
    <w:rsid w:val="00E10018"/>
    <w:rsid w:val="00E10162"/>
    <w:rsid w:val="00E102A8"/>
    <w:rsid w:val="00E10F6B"/>
    <w:rsid w:val="00E114EB"/>
    <w:rsid w:val="00E117A9"/>
    <w:rsid w:val="00E119DC"/>
    <w:rsid w:val="00E12DC2"/>
    <w:rsid w:val="00E12F74"/>
    <w:rsid w:val="00E13031"/>
    <w:rsid w:val="00E13119"/>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AA1"/>
    <w:rsid w:val="00E23E8D"/>
    <w:rsid w:val="00E24D7C"/>
    <w:rsid w:val="00E25691"/>
    <w:rsid w:val="00E26A69"/>
    <w:rsid w:val="00E30D80"/>
    <w:rsid w:val="00E3131F"/>
    <w:rsid w:val="00E3189F"/>
    <w:rsid w:val="00E319C5"/>
    <w:rsid w:val="00E31B55"/>
    <w:rsid w:val="00E31B97"/>
    <w:rsid w:val="00E3230E"/>
    <w:rsid w:val="00E324CC"/>
    <w:rsid w:val="00E326EB"/>
    <w:rsid w:val="00E3373D"/>
    <w:rsid w:val="00E33FAC"/>
    <w:rsid w:val="00E34407"/>
    <w:rsid w:val="00E345CD"/>
    <w:rsid w:val="00E3467F"/>
    <w:rsid w:val="00E36310"/>
    <w:rsid w:val="00E37522"/>
    <w:rsid w:val="00E37E98"/>
    <w:rsid w:val="00E413B8"/>
    <w:rsid w:val="00E41CD1"/>
    <w:rsid w:val="00E420E1"/>
    <w:rsid w:val="00E42AC9"/>
    <w:rsid w:val="00E42FC9"/>
    <w:rsid w:val="00E4336E"/>
    <w:rsid w:val="00E44266"/>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259"/>
    <w:rsid w:val="00E56FD4"/>
    <w:rsid w:val="00E574B5"/>
    <w:rsid w:val="00E57526"/>
    <w:rsid w:val="00E60B01"/>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0783"/>
    <w:rsid w:val="00EA1FBE"/>
    <w:rsid w:val="00EA251F"/>
    <w:rsid w:val="00EA2BF4"/>
    <w:rsid w:val="00EA30FC"/>
    <w:rsid w:val="00EA5DE8"/>
    <w:rsid w:val="00EA6D06"/>
    <w:rsid w:val="00EA768A"/>
    <w:rsid w:val="00EB08D2"/>
    <w:rsid w:val="00EB08DC"/>
    <w:rsid w:val="00EB11ED"/>
    <w:rsid w:val="00EB13E7"/>
    <w:rsid w:val="00EB2FB8"/>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19AC"/>
    <w:rsid w:val="00EC1D9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3EB8"/>
    <w:rsid w:val="00ED4EF3"/>
    <w:rsid w:val="00ED4FFB"/>
    <w:rsid w:val="00ED58D4"/>
    <w:rsid w:val="00ED5D30"/>
    <w:rsid w:val="00ED7A2E"/>
    <w:rsid w:val="00EE0162"/>
    <w:rsid w:val="00EE1449"/>
    <w:rsid w:val="00EE21FF"/>
    <w:rsid w:val="00EE32DE"/>
    <w:rsid w:val="00EE39D6"/>
    <w:rsid w:val="00EE41D1"/>
    <w:rsid w:val="00EE4A13"/>
    <w:rsid w:val="00EE4B81"/>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791C"/>
    <w:rsid w:val="00F408B3"/>
    <w:rsid w:val="00F413C5"/>
    <w:rsid w:val="00F414C4"/>
    <w:rsid w:val="00F421C8"/>
    <w:rsid w:val="00F42BE7"/>
    <w:rsid w:val="00F42C43"/>
    <w:rsid w:val="00F42D88"/>
    <w:rsid w:val="00F42F83"/>
    <w:rsid w:val="00F438DD"/>
    <w:rsid w:val="00F4404F"/>
    <w:rsid w:val="00F44146"/>
    <w:rsid w:val="00F44A58"/>
    <w:rsid w:val="00F44AF5"/>
    <w:rsid w:val="00F45052"/>
    <w:rsid w:val="00F452E6"/>
    <w:rsid w:val="00F45704"/>
    <w:rsid w:val="00F464C1"/>
    <w:rsid w:val="00F475D5"/>
    <w:rsid w:val="00F476A5"/>
    <w:rsid w:val="00F47A89"/>
    <w:rsid w:val="00F50302"/>
    <w:rsid w:val="00F50F2A"/>
    <w:rsid w:val="00F5374E"/>
    <w:rsid w:val="00F53831"/>
    <w:rsid w:val="00F539D8"/>
    <w:rsid w:val="00F53EBD"/>
    <w:rsid w:val="00F5423E"/>
    <w:rsid w:val="00F54A76"/>
    <w:rsid w:val="00F54EA6"/>
    <w:rsid w:val="00F550A2"/>
    <w:rsid w:val="00F55A9C"/>
    <w:rsid w:val="00F5620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0768"/>
    <w:rsid w:val="00F71182"/>
    <w:rsid w:val="00F7148A"/>
    <w:rsid w:val="00F717A0"/>
    <w:rsid w:val="00F71AD1"/>
    <w:rsid w:val="00F71AE3"/>
    <w:rsid w:val="00F71CEF"/>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212"/>
    <w:rsid w:val="00F91D04"/>
    <w:rsid w:val="00F91E87"/>
    <w:rsid w:val="00F9205D"/>
    <w:rsid w:val="00F922C3"/>
    <w:rsid w:val="00F930E2"/>
    <w:rsid w:val="00F942F0"/>
    <w:rsid w:val="00F94494"/>
    <w:rsid w:val="00F94C5E"/>
    <w:rsid w:val="00F9512C"/>
    <w:rsid w:val="00F963F3"/>
    <w:rsid w:val="00F96A52"/>
    <w:rsid w:val="00F96B99"/>
    <w:rsid w:val="00FA00D6"/>
    <w:rsid w:val="00FA13A4"/>
    <w:rsid w:val="00FA1699"/>
    <w:rsid w:val="00FA1FA1"/>
    <w:rsid w:val="00FA2354"/>
    <w:rsid w:val="00FA24AC"/>
    <w:rsid w:val="00FA2A33"/>
    <w:rsid w:val="00FA4654"/>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FCC"/>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139"/>
    <w:rsid w:val="00FC19D3"/>
    <w:rsid w:val="00FC1F7D"/>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335"/>
    <w:rsid w:val="00FD150A"/>
    <w:rsid w:val="00FD2124"/>
    <w:rsid w:val="00FD2A85"/>
    <w:rsid w:val="00FD2EF1"/>
    <w:rsid w:val="00FD41F9"/>
    <w:rsid w:val="00FD4306"/>
    <w:rsid w:val="00FD46A2"/>
    <w:rsid w:val="00FD5074"/>
    <w:rsid w:val="00FD5D04"/>
    <w:rsid w:val="00FD74E5"/>
    <w:rsid w:val="00FE01AE"/>
    <w:rsid w:val="00FE0C26"/>
    <w:rsid w:val="00FE174A"/>
    <w:rsid w:val="00FE197B"/>
    <w:rsid w:val="00FE2C67"/>
    <w:rsid w:val="00FE3612"/>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HR33RHYHUWRF-4-2475</_dlc_DocId>
    <_dlc_DocIdUrl xmlns="c06861ca-3f08-4d07-bff7-bb15bac121f4">
      <Url>https://projects.qualcomm.com/sites/pentari/_layouts/15/DocIdRedir.aspx?ID=HR33RHYHUWRF-4-2475</Url>
      <Description>HR33RHYHUWRF-4-2475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4.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5.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6.xml><?xml version="1.0" encoding="utf-8"?>
<ds:datastoreItem xmlns:ds="http://schemas.openxmlformats.org/officeDocument/2006/customXml" ds:itemID="{F9B53A8A-47B9-417B-BBCC-AC69F953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4</Pages>
  <Words>1148</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128</cp:revision>
  <cp:lastPrinted>2009-04-22T17:01:00Z</cp:lastPrinted>
  <dcterms:created xsi:type="dcterms:W3CDTF">2017-04-20T18:28:00Z</dcterms:created>
  <dcterms:modified xsi:type="dcterms:W3CDTF">2017-05-06T04:08:00Z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92a1e866-c08f-4f1c-918a-43a637145b3a</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